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6B9E9" w14:textId="248C7E5D" w:rsidR="00B91E42" w:rsidRDefault="00B91E42" w:rsidP="003B4682">
      <w:pPr>
        <w:spacing w:before="120" w:after="120"/>
        <w:jc w:val="center"/>
        <w:rPr>
          <w:rFonts w:ascii="Arial" w:hAnsi="Arial" w:cs="Arial"/>
          <w:b/>
          <w:bCs/>
        </w:rPr>
      </w:pPr>
      <w:bookmarkStart w:id="0" w:name="_GoBack"/>
      <w:bookmarkEnd w:id="0"/>
      <w:r w:rsidRPr="00B91E42">
        <w:rPr>
          <w:rFonts w:ascii="Arial" w:hAnsi="Arial" w:cs="Arial"/>
          <w:b/>
          <w:bCs/>
          <w:noProof/>
          <w:lang w:eastAsia="en-NZ"/>
        </w:rPr>
        <w:drawing>
          <wp:inline distT="0" distB="0" distL="0" distR="0" wp14:anchorId="20563A02" wp14:editId="1AA6A74F">
            <wp:extent cx="1809750" cy="1208339"/>
            <wp:effectExtent l="0" t="0" r="0" b="0"/>
            <wp:docPr id="2" name="Picture 2" descr="Z:\Live Vault\ID2\A95E3096-D364-4595-AF5A-63743AB8190A\0\12000-12999\12637\L\L\CSNZ logo horizontal with Maori (ID 1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Live Vault\ID2\A95E3096-D364-4595-AF5A-63743AB8190A\0\12000-12999\12637\L\L\CSNZ logo horizontal with Maori (ID 126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0699" cy="1215649"/>
                    </a:xfrm>
                    <a:prstGeom prst="rect">
                      <a:avLst/>
                    </a:prstGeom>
                    <a:noFill/>
                    <a:ln>
                      <a:noFill/>
                    </a:ln>
                  </pic:spPr>
                </pic:pic>
              </a:graphicData>
            </a:graphic>
          </wp:inline>
        </w:drawing>
      </w:r>
    </w:p>
    <w:p w14:paraId="0056E482" w14:textId="375B6CCA" w:rsidR="00B91E42" w:rsidRPr="003B4682" w:rsidRDefault="00B91E42" w:rsidP="00EA2FEA">
      <w:pPr>
        <w:spacing w:before="120" w:after="120"/>
        <w:rPr>
          <w:rFonts w:ascii="Arial" w:hAnsi="Arial" w:cs="Arial"/>
          <w:b/>
          <w:bCs/>
          <w:sz w:val="28"/>
          <w:szCs w:val="28"/>
          <w:u w:val="single"/>
        </w:rPr>
      </w:pPr>
      <w:r w:rsidRPr="003B4682">
        <w:rPr>
          <w:rFonts w:ascii="Arial" w:hAnsi="Arial" w:cs="Arial"/>
          <w:b/>
          <w:bCs/>
          <w:sz w:val="28"/>
          <w:szCs w:val="28"/>
          <w:u w:val="single"/>
        </w:rPr>
        <w:t>Submission</w:t>
      </w:r>
      <w:r w:rsidR="003B4682" w:rsidRPr="003B4682">
        <w:rPr>
          <w:rFonts w:ascii="Arial" w:hAnsi="Arial" w:cs="Arial"/>
          <w:b/>
          <w:bCs/>
          <w:sz w:val="28"/>
          <w:szCs w:val="28"/>
          <w:u w:val="single"/>
        </w:rPr>
        <w:t xml:space="preserve"> to Ministry of Primary Industries</w:t>
      </w:r>
      <w:r w:rsidRPr="003B4682">
        <w:rPr>
          <w:rFonts w:ascii="Arial" w:hAnsi="Arial" w:cs="Arial"/>
          <w:b/>
          <w:bCs/>
          <w:sz w:val="28"/>
          <w:szCs w:val="28"/>
          <w:u w:val="single"/>
        </w:rPr>
        <w:t xml:space="preserve">: Folate Fortification </w:t>
      </w:r>
    </w:p>
    <w:p w14:paraId="4E3FF9DF" w14:textId="72B63338" w:rsidR="003B4682" w:rsidRPr="0016675F" w:rsidRDefault="003B4682" w:rsidP="003B4682">
      <w:pPr>
        <w:spacing w:before="120" w:after="120"/>
        <w:ind w:right="-318"/>
        <w:jc w:val="center"/>
        <w:rPr>
          <w:rFonts w:ascii="Arial" w:hAnsi="Arial" w:cs="Arial"/>
          <w:b/>
        </w:rPr>
      </w:pPr>
      <w:r>
        <w:rPr>
          <w:rFonts w:ascii="Arial" w:hAnsi="Arial" w:cs="Arial"/>
          <w:b/>
        </w:rPr>
        <w:t>November 2019</w:t>
      </w:r>
    </w:p>
    <w:p w14:paraId="504DE14F" w14:textId="56C98285" w:rsidR="00B91E42" w:rsidRDefault="00B91E42" w:rsidP="00EA2FEA">
      <w:pPr>
        <w:spacing w:before="120" w:after="120"/>
        <w:rPr>
          <w:rFonts w:ascii="Arial" w:hAnsi="Arial" w:cs="Arial"/>
          <w:b/>
          <w:bCs/>
        </w:rPr>
      </w:pPr>
      <w:r>
        <w:rPr>
          <w:rFonts w:ascii="Arial" w:hAnsi="Arial" w:cs="Arial"/>
          <w:b/>
          <w:bCs/>
        </w:rPr>
        <w:t>Introduction</w:t>
      </w:r>
    </w:p>
    <w:p w14:paraId="258977DF" w14:textId="65A999BA" w:rsidR="00EA2FEA" w:rsidRDefault="00EA2FEA" w:rsidP="00EA2FEA">
      <w:pPr>
        <w:spacing w:before="120" w:after="120"/>
        <w:rPr>
          <w:rFonts w:ascii="Arial" w:hAnsi="Arial" w:cs="Arial"/>
          <w:sz w:val="20"/>
          <w:lang w:eastAsia="en-GB"/>
        </w:rPr>
      </w:pPr>
      <w:r w:rsidRPr="00EA2FEA">
        <w:rPr>
          <w:rFonts w:ascii="Arial" w:hAnsi="Arial" w:cs="Arial"/>
          <w:sz w:val="20"/>
          <w:lang w:eastAsia="en-GB"/>
        </w:rPr>
        <w:t xml:space="preserve">Folic acid </w:t>
      </w:r>
      <w:r w:rsidR="007D6AC9" w:rsidRPr="007D6AC9">
        <w:rPr>
          <w:rFonts w:ascii="Arial" w:hAnsi="Arial" w:cs="Arial"/>
          <w:sz w:val="20"/>
          <w:lang w:eastAsia="en-GB"/>
        </w:rPr>
        <w:t>is an essential B vitamin important for the healthy development of babies early in pregnancy</w:t>
      </w:r>
      <w:r w:rsidRPr="00EA2FEA">
        <w:rPr>
          <w:rFonts w:ascii="Arial" w:hAnsi="Arial" w:cs="Arial"/>
          <w:sz w:val="20"/>
          <w:lang w:eastAsia="en-GB"/>
        </w:rPr>
        <w:t xml:space="preserve">. </w:t>
      </w:r>
      <w:r w:rsidR="007D6AC9" w:rsidRPr="007D6AC9">
        <w:rPr>
          <w:rFonts w:ascii="Arial" w:hAnsi="Arial" w:cs="Arial"/>
          <w:sz w:val="20"/>
          <w:lang w:eastAsia="en-GB"/>
        </w:rPr>
        <w:t>There is overwhelming evidence that consuming sufficient folic acid before conception and during early pregnancy can prevent many cases of neural tube defects</w:t>
      </w:r>
      <w:r w:rsidR="004A5DC7">
        <w:rPr>
          <w:rFonts w:ascii="Arial" w:hAnsi="Arial" w:cs="Arial"/>
          <w:sz w:val="20"/>
          <w:lang w:eastAsia="en-GB"/>
        </w:rPr>
        <w:t xml:space="preserve"> (NTD)</w:t>
      </w:r>
      <w:r w:rsidR="007D6AC9" w:rsidRPr="007D6AC9">
        <w:rPr>
          <w:rFonts w:ascii="Arial" w:hAnsi="Arial" w:cs="Arial"/>
          <w:sz w:val="20"/>
          <w:lang w:eastAsia="en-GB"/>
        </w:rPr>
        <w:t xml:space="preserve"> such as spina bifida.</w:t>
      </w:r>
    </w:p>
    <w:p w14:paraId="1ED786A6" w14:textId="21661E6A" w:rsidR="007D6AC9" w:rsidRPr="007D6AC9" w:rsidRDefault="007D6AC9" w:rsidP="007D6AC9">
      <w:pPr>
        <w:spacing w:after="150"/>
        <w:rPr>
          <w:rFonts w:ascii="Arial" w:hAnsi="Arial" w:cs="Arial"/>
          <w:sz w:val="20"/>
          <w:lang w:eastAsia="en-GB"/>
        </w:rPr>
      </w:pPr>
      <w:r w:rsidRPr="007D6AC9">
        <w:rPr>
          <w:rFonts w:ascii="Arial" w:hAnsi="Arial" w:cs="Arial"/>
          <w:sz w:val="20"/>
          <w:lang w:eastAsia="en-GB"/>
        </w:rPr>
        <w:t>New Zeala</w:t>
      </w:r>
      <w:r w:rsidR="004A5DC7">
        <w:rPr>
          <w:rFonts w:ascii="Arial" w:hAnsi="Arial" w:cs="Arial"/>
          <w:sz w:val="20"/>
          <w:lang w:eastAsia="en-GB"/>
        </w:rPr>
        <w:t>nd’s rate of NTDs</w:t>
      </w:r>
      <w:r w:rsidRPr="007D6AC9">
        <w:rPr>
          <w:rFonts w:ascii="Arial" w:hAnsi="Arial" w:cs="Arial"/>
          <w:sz w:val="20"/>
          <w:lang w:eastAsia="en-GB"/>
        </w:rPr>
        <w:t xml:space="preserve"> is higher than it could be, and Māori women have higher rates of affected live births than other groups. The financial, social, and emotional impact from these birth defects can be significant for many families, whānau, and communities across New Zealand.</w:t>
      </w:r>
    </w:p>
    <w:p w14:paraId="628868B9" w14:textId="77777777" w:rsidR="003E1169" w:rsidRDefault="007D6AC9" w:rsidP="003E1169">
      <w:pPr>
        <w:spacing w:after="0"/>
        <w:rPr>
          <w:rFonts w:ascii="Arial" w:hAnsi="Arial" w:cs="Arial"/>
          <w:sz w:val="20"/>
          <w:lang w:eastAsia="en-GB"/>
        </w:rPr>
      </w:pPr>
      <w:r w:rsidRPr="007D6AC9">
        <w:rPr>
          <w:rFonts w:ascii="Arial" w:hAnsi="Arial" w:cs="Arial"/>
          <w:sz w:val="20"/>
          <w:lang w:eastAsia="en-GB"/>
        </w:rPr>
        <w:t>MPI recognises the importance of this issue and is seeking feedback on whether the government should:</w:t>
      </w:r>
    </w:p>
    <w:p w14:paraId="5E0B01D2" w14:textId="2626725A" w:rsidR="007D6AC9" w:rsidRPr="003E1169" w:rsidRDefault="007D6AC9" w:rsidP="003E1169">
      <w:pPr>
        <w:pStyle w:val="ListParagraph"/>
        <w:numPr>
          <w:ilvl w:val="0"/>
          <w:numId w:val="47"/>
        </w:numPr>
        <w:spacing w:after="0"/>
        <w:rPr>
          <w:rFonts w:ascii="Arial" w:eastAsia="Times New Roman" w:hAnsi="Arial" w:cs="Arial"/>
          <w:color w:val="131313"/>
          <w:sz w:val="20"/>
          <w:szCs w:val="20"/>
          <w:lang w:eastAsia="en-NZ"/>
        </w:rPr>
      </w:pPr>
      <w:r w:rsidRPr="003E1169">
        <w:rPr>
          <w:rFonts w:ascii="Arial" w:eastAsia="Times New Roman" w:hAnsi="Arial" w:cs="Arial"/>
          <w:color w:val="131313"/>
          <w:sz w:val="20"/>
          <w:szCs w:val="20"/>
          <w:lang w:eastAsia="en-NZ"/>
        </w:rPr>
        <w:t>continue with the current voluntary approach of fortifying up to 50% of packaged sliced bread</w:t>
      </w:r>
    </w:p>
    <w:p w14:paraId="6751CF32" w14:textId="77777777" w:rsidR="007D6AC9" w:rsidRPr="007D6AC9" w:rsidRDefault="007D6AC9" w:rsidP="007D6AC9">
      <w:pPr>
        <w:pStyle w:val="ListParagraph"/>
        <w:numPr>
          <w:ilvl w:val="0"/>
          <w:numId w:val="47"/>
        </w:numPr>
        <w:spacing w:before="100" w:beforeAutospacing="1" w:after="100" w:afterAutospacing="1" w:line="240" w:lineRule="auto"/>
        <w:jc w:val="both"/>
        <w:rPr>
          <w:rFonts w:ascii="Arial" w:eastAsia="Times New Roman" w:hAnsi="Arial" w:cs="Arial"/>
          <w:color w:val="131313"/>
          <w:sz w:val="20"/>
          <w:szCs w:val="20"/>
          <w:lang w:eastAsia="en-NZ"/>
        </w:rPr>
      </w:pPr>
      <w:r w:rsidRPr="007D6AC9">
        <w:rPr>
          <w:rFonts w:ascii="Arial" w:eastAsia="Times New Roman" w:hAnsi="Arial" w:cs="Arial"/>
          <w:color w:val="131313"/>
          <w:sz w:val="20"/>
          <w:szCs w:val="20"/>
          <w:lang w:eastAsia="en-NZ"/>
        </w:rPr>
        <w:t>ask industry to enhance the voluntary approach to fortify 80% of packaged sliced bread, or</w:t>
      </w:r>
    </w:p>
    <w:p w14:paraId="48869F4F" w14:textId="77777777" w:rsidR="007D6AC9" w:rsidRDefault="007D6AC9" w:rsidP="007D6AC9">
      <w:pPr>
        <w:pStyle w:val="ListParagraph"/>
        <w:numPr>
          <w:ilvl w:val="0"/>
          <w:numId w:val="47"/>
        </w:numPr>
        <w:spacing w:before="100" w:beforeAutospacing="1" w:after="100" w:afterAutospacing="1" w:line="240" w:lineRule="auto"/>
        <w:jc w:val="both"/>
        <w:rPr>
          <w:rFonts w:ascii="Arial" w:eastAsia="Times New Roman" w:hAnsi="Arial" w:cs="Arial"/>
          <w:color w:val="131313"/>
          <w:sz w:val="20"/>
          <w:szCs w:val="20"/>
          <w:lang w:eastAsia="en-NZ"/>
        </w:rPr>
      </w:pPr>
      <w:r w:rsidRPr="007D6AC9">
        <w:rPr>
          <w:rFonts w:ascii="Arial" w:eastAsia="Times New Roman" w:hAnsi="Arial" w:cs="Arial"/>
          <w:color w:val="131313"/>
          <w:sz w:val="20"/>
          <w:szCs w:val="20"/>
          <w:lang w:eastAsia="en-NZ"/>
        </w:rPr>
        <w:t>introduce mandatory fortification of bread, bread-making wheat flour, or all wheat flour.</w:t>
      </w:r>
    </w:p>
    <w:p w14:paraId="728E5C41" w14:textId="77777777" w:rsidR="00AA1D9E" w:rsidRDefault="00AA1D9E" w:rsidP="007D6AC9">
      <w:pPr>
        <w:spacing w:before="100" w:beforeAutospacing="1" w:after="100" w:afterAutospacing="1" w:line="240" w:lineRule="auto"/>
        <w:jc w:val="both"/>
        <w:rPr>
          <w:rFonts w:ascii="Arial" w:hAnsi="Arial" w:cs="Arial"/>
          <w:sz w:val="20"/>
          <w:lang w:eastAsia="en-GB"/>
        </w:rPr>
      </w:pPr>
      <w:r w:rsidRPr="00044B66">
        <w:rPr>
          <w:rFonts w:ascii="Arial" w:hAnsi="Arial" w:cs="Arial"/>
          <w:sz w:val="20"/>
          <w:lang w:eastAsia="en-GB"/>
        </w:rPr>
        <w:t>There is no consistent evidence that folic acid, when fortified in food at the recommended level, has any harmful health effects.</w:t>
      </w:r>
    </w:p>
    <w:p w14:paraId="3B19043F" w14:textId="5A761D3A" w:rsidR="007D6AC9" w:rsidRPr="007D6AC9" w:rsidRDefault="007D6AC9" w:rsidP="007D6AC9">
      <w:pPr>
        <w:spacing w:before="100" w:beforeAutospacing="1" w:after="100" w:afterAutospacing="1" w:line="240" w:lineRule="auto"/>
        <w:jc w:val="both"/>
        <w:rPr>
          <w:rFonts w:ascii="Arial" w:hAnsi="Arial" w:cs="Arial"/>
          <w:sz w:val="20"/>
          <w:lang w:eastAsia="en-GB"/>
        </w:rPr>
      </w:pPr>
      <w:r w:rsidRPr="007D6AC9">
        <w:rPr>
          <w:rFonts w:ascii="Arial" w:hAnsi="Arial" w:cs="Arial"/>
          <w:sz w:val="20"/>
          <w:lang w:eastAsia="en-GB"/>
        </w:rPr>
        <w:t>All options would exclude organic products.</w:t>
      </w:r>
      <w:r w:rsidR="00AA1D9E" w:rsidRPr="00AA1D9E">
        <w:rPr>
          <w:rFonts w:ascii="Arial" w:hAnsi="Arial" w:cs="Arial"/>
          <w:sz w:val="20"/>
          <w:lang w:eastAsia="en-GB"/>
        </w:rPr>
        <w:t xml:space="preserve"> </w:t>
      </w:r>
    </w:p>
    <w:p w14:paraId="6CB5D378" w14:textId="4BC7FD4F" w:rsidR="007D6AC9" w:rsidRPr="00EA2FEA" w:rsidRDefault="00EA2FEA" w:rsidP="00EA2FEA">
      <w:pPr>
        <w:spacing w:before="120" w:after="120"/>
        <w:rPr>
          <w:rFonts w:ascii="Arial" w:hAnsi="Arial" w:cs="Arial"/>
          <w:sz w:val="20"/>
        </w:rPr>
      </w:pPr>
      <w:r w:rsidRPr="00EA2FEA">
        <w:rPr>
          <w:rFonts w:ascii="Arial" w:hAnsi="Arial" w:cs="Arial"/>
          <w:sz w:val="20"/>
        </w:rPr>
        <w:t>We are seeking your feedback on</w:t>
      </w:r>
      <w:r w:rsidR="00105533">
        <w:rPr>
          <w:rFonts w:ascii="Arial" w:hAnsi="Arial" w:cs="Arial"/>
          <w:sz w:val="20"/>
        </w:rPr>
        <w:t xml:space="preserve"> these options</w:t>
      </w:r>
      <w:r w:rsidRPr="00EA2FEA">
        <w:rPr>
          <w:rFonts w:ascii="Arial" w:hAnsi="Arial" w:cs="Arial"/>
          <w:sz w:val="20"/>
        </w:rPr>
        <w:t xml:space="preserve">. </w:t>
      </w:r>
      <w:r w:rsidR="007D6AC9" w:rsidRPr="007D6AC9">
        <w:rPr>
          <w:rFonts w:ascii="Arial" w:hAnsi="Arial" w:cs="Arial"/>
          <w:sz w:val="20"/>
          <w:lang w:eastAsia="en-GB"/>
        </w:rPr>
        <w:t>Hearing the views of the public will help us understand the possible impacts of the proposals.</w:t>
      </w:r>
    </w:p>
    <w:p w14:paraId="5AAECBE0" w14:textId="3A94ED47" w:rsidR="000018F9" w:rsidRPr="00DE233A" w:rsidRDefault="00647DFA" w:rsidP="00DE233A">
      <w:pPr>
        <w:ind w:left="-567" w:right="-676"/>
        <w:rPr>
          <w:rFonts w:ascii="Arial" w:hAnsi="Arial" w:cs="Arial"/>
          <w:color w:val="FF0000"/>
          <w:sz w:val="20"/>
          <w:szCs w:val="20"/>
        </w:rPr>
      </w:pPr>
      <w:r>
        <w:rPr>
          <w:rFonts w:ascii="Arial" w:hAnsi="Arial" w:cs="Arial"/>
          <w:color w:val="FF0000"/>
          <w:sz w:val="20"/>
          <w:szCs w:val="20"/>
        </w:rPr>
        <w:pict w14:anchorId="4A5780A1">
          <v:rect id="_x0000_i1025" style="width:0;height:1.5pt" o:hralign="center" o:hrstd="t" o:hr="t" fillcolor="#a0a0a0" stroked="f"/>
        </w:pict>
      </w:r>
    </w:p>
    <w:p w14:paraId="7ED048C8" w14:textId="77777777" w:rsidR="000018F9" w:rsidRPr="0016675F" w:rsidRDefault="000018F9" w:rsidP="000018F9">
      <w:pPr>
        <w:spacing w:after="120"/>
        <w:ind w:left="-180" w:hanging="360"/>
        <w:rPr>
          <w:rFonts w:ascii="Arial" w:hAnsi="Arial" w:cs="Arial"/>
          <w:b/>
        </w:rPr>
      </w:pPr>
      <w:r w:rsidRPr="0016675F">
        <w:rPr>
          <w:rFonts w:ascii="Arial" w:hAnsi="Arial" w:cs="Arial"/>
          <w:b/>
        </w:rPr>
        <w:t>Submitter details:</w:t>
      </w:r>
    </w:p>
    <w:tbl>
      <w:tblPr>
        <w:tblW w:w="9720"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EDFC6"/>
        <w:tblLook w:val="01E0" w:firstRow="1" w:lastRow="1" w:firstColumn="1" w:lastColumn="1" w:noHBand="0" w:noVBand="0"/>
      </w:tblPr>
      <w:tblGrid>
        <w:gridCol w:w="3420"/>
        <w:gridCol w:w="6300"/>
      </w:tblGrid>
      <w:tr w:rsidR="000018F9" w:rsidRPr="0016675F" w14:paraId="12339926" w14:textId="77777777" w:rsidTr="00A67F58">
        <w:tc>
          <w:tcPr>
            <w:tcW w:w="3420" w:type="dxa"/>
            <w:shd w:val="clear" w:color="auto" w:fill="E6E6E6"/>
          </w:tcPr>
          <w:p w14:paraId="17851CE4" w14:textId="77777777" w:rsidR="000018F9" w:rsidRPr="0016675F" w:rsidRDefault="000018F9" w:rsidP="00A67F58">
            <w:pPr>
              <w:spacing w:before="120" w:after="120"/>
              <w:rPr>
                <w:rFonts w:ascii="Arial" w:hAnsi="Arial" w:cs="Arial"/>
                <w:sz w:val="20"/>
                <w:szCs w:val="20"/>
              </w:rPr>
            </w:pPr>
            <w:r w:rsidRPr="0016675F">
              <w:rPr>
                <w:rFonts w:ascii="Arial" w:hAnsi="Arial" w:cs="Arial"/>
                <w:sz w:val="20"/>
                <w:szCs w:val="20"/>
              </w:rPr>
              <w:t xml:space="preserve">Name of submitter </w:t>
            </w:r>
            <w:r w:rsidRPr="0016675F">
              <w:rPr>
                <w:rFonts w:ascii="Arial" w:hAnsi="Arial" w:cs="Arial"/>
                <w:sz w:val="20"/>
                <w:szCs w:val="20"/>
              </w:rPr>
              <w:br/>
              <w:t>or contact person:</w:t>
            </w:r>
          </w:p>
        </w:tc>
        <w:tc>
          <w:tcPr>
            <w:tcW w:w="6300" w:type="dxa"/>
            <w:shd w:val="clear" w:color="auto" w:fill="F3F3F3"/>
          </w:tcPr>
          <w:p w14:paraId="68B21098" w14:textId="5383877E" w:rsidR="000018F9" w:rsidRPr="0016675F" w:rsidRDefault="009F1AD9" w:rsidP="00A67F58">
            <w:pPr>
              <w:spacing w:after="120"/>
              <w:rPr>
                <w:rFonts w:ascii="Arial" w:hAnsi="Arial" w:cs="Arial"/>
                <w:sz w:val="20"/>
                <w:szCs w:val="20"/>
              </w:rPr>
            </w:pPr>
            <w:r>
              <w:rPr>
                <w:rFonts w:ascii="Arial" w:hAnsi="Arial" w:cs="Arial"/>
                <w:sz w:val="20"/>
                <w:szCs w:val="20"/>
              </w:rPr>
              <w:t>Vicki Robinson, Health Promotion Advisor, Advocacy and Wellbeing Cancer Society of NZ.</w:t>
            </w:r>
          </w:p>
        </w:tc>
      </w:tr>
      <w:tr w:rsidR="000018F9" w:rsidRPr="0016675F" w14:paraId="295AC560" w14:textId="77777777" w:rsidTr="00A67F58">
        <w:tc>
          <w:tcPr>
            <w:tcW w:w="3420" w:type="dxa"/>
            <w:shd w:val="clear" w:color="auto" w:fill="E6E6E6"/>
          </w:tcPr>
          <w:p w14:paraId="6086F8EE" w14:textId="77777777" w:rsidR="000018F9" w:rsidRPr="0016675F" w:rsidRDefault="000018F9" w:rsidP="00A67F58">
            <w:pPr>
              <w:spacing w:before="120" w:after="120"/>
              <w:rPr>
                <w:rFonts w:ascii="Arial" w:hAnsi="Arial" w:cs="Arial"/>
                <w:sz w:val="20"/>
                <w:szCs w:val="20"/>
              </w:rPr>
            </w:pPr>
            <w:r w:rsidRPr="0016675F">
              <w:rPr>
                <w:rFonts w:ascii="Arial" w:hAnsi="Arial" w:cs="Arial"/>
                <w:sz w:val="20"/>
                <w:szCs w:val="20"/>
              </w:rPr>
              <w:t>Organisation (if applicable):</w:t>
            </w:r>
          </w:p>
        </w:tc>
        <w:tc>
          <w:tcPr>
            <w:tcW w:w="6300" w:type="dxa"/>
            <w:shd w:val="clear" w:color="auto" w:fill="F3F3F3"/>
          </w:tcPr>
          <w:p w14:paraId="3508B028" w14:textId="77F1D4B2" w:rsidR="000018F9" w:rsidRPr="0016675F" w:rsidRDefault="009F1AD9" w:rsidP="00A67F58">
            <w:pPr>
              <w:spacing w:after="120"/>
              <w:rPr>
                <w:rFonts w:ascii="Arial" w:hAnsi="Arial" w:cs="Arial"/>
                <w:sz w:val="20"/>
                <w:szCs w:val="20"/>
              </w:rPr>
            </w:pPr>
            <w:r>
              <w:rPr>
                <w:rFonts w:ascii="Arial" w:hAnsi="Arial" w:cs="Arial"/>
                <w:sz w:val="20"/>
                <w:szCs w:val="20"/>
              </w:rPr>
              <w:t>Cancer Society NZ</w:t>
            </w:r>
          </w:p>
        </w:tc>
      </w:tr>
      <w:tr w:rsidR="000018F9" w:rsidRPr="0016675F" w14:paraId="27DDD559" w14:textId="77777777" w:rsidTr="00A67F58">
        <w:tc>
          <w:tcPr>
            <w:tcW w:w="3420" w:type="dxa"/>
            <w:shd w:val="clear" w:color="auto" w:fill="E6E6E6"/>
          </w:tcPr>
          <w:p w14:paraId="1A52BB5C" w14:textId="77777777" w:rsidR="000018F9" w:rsidRPr="0016675F" w:rsidRDefault="000018F9" w:rsidP="00A67F58">
            <w:pPr>
              <w:spacing w:after="120"/>
              <w:rPr>
                <w:rFonts w:ascii="Arial" w:hAnsi="Arial" w:cs="Arial"/>
                <w:sz w:val="20"/>
                <w:szCs w:val="20"/>
              </w:rPr>
            </w:pPr>
            <w:r w:rsidRPr="0016675F">
              <w:rPr>
                <w:rFonts w:ascii="Arial" w:hAnsi="Arial" w:cs="Arial"/>
                <w:sz w:val="20"/>
                <w:szCs w:val="20"/>
              </w:rPr>
              <w:t>Email:</w:t>
            </w:r>
          </w:p>
        </w:tc>
        <w:tc>
          <w:tcPr>
            <w:tcW w:w="6300" w:type="dxa"/>
            <w:shd w:val="clear" w:color="auto" w:fill="F3F3F3"/>
          </w:tcPr>
          <w:p w14:paraId="72EA76D6" w14:textId="1379AE66" w:rsidR="000018F9" w:rsidRPr="0016675F" w:rsidRDefault="009F1AD9" w:rsidP="00A67F58">
            <w:pPr>
              <w:spacing w:after="120"/>
              <w:rPr>
                <w:rFonts w:ascii="Arial" w:hAnsi="Arial" w:cs="Arial"/>
                <w:sz w:val="20"/>
                <w:szCs w:val="20"/>
              </w:rPr>
            </w:pPr>
            <w:r>
              <w:rPr>
                <w:rFonts w:ascii="Arial" w:hAnsi="Arial" w:cs="Arial"/>
                <w:sz w:val="20"/>
                <w:szCs w:val="20"/>
              </w:rPr>
              <w:t>Vicki@cancer.org.nz</w:t>
            </w:r>
          </w:p>
        </w:tc>
      </w:tr>
    </w:tbl>
    <w:p w14:paraId="0189D54A" w14:textId="77777777" w:rsidR="000018F9" w:rsidRPr="0016675F" w:rsidRDefault="000018F9" w:rsidP="000018F9">
      <w:pPr>
        <w:ind w:hanging="540"/>
        <w:rPr>
          <w:rFonts w:ascii="Arial" w:hAnsi="Arial" w:cs="Arial"/>
          <w:b/>
          <w:bCs/>
        </w:rPr>
      </w:pPr>
      <w:bookmarkStart w:id="1" w:name="_Toc449508989"/>
      <w:r w:rsidRPr="0016675F">
        <w:rPr>
          <w:rFonts w:ascii="Arial" w:hAnsi="Arial" w:cs="Arial"/>
          <w:b/>
          <w:bCs/>
        </w:rPr>
        <w:t>Official Information Act 1982</w:t>
      </w:r>
      <w:bookmarkEnd w:id="1"/>
    </w:p>
    <w:p w14:paraId="37192AC0" w14:textId="7083F92E" w:rsidR="00EA2FEA" w:rsidRDefault="000018F9" w:rsidP="0081318E">
      <w:pPr>
        <w:ind w:left="-567" w:firstLine="27"/>
        <w:rPr>
          <w:rFonts w:ascii="Arial" w:hAnsi="Arial" w:cs="Arial"/>
          <w:sz w:val="20"/>
          <w:szCs w:val="20"/>
        </w:rPr>
      </w:pPr>
      <w:r w:rsidRPr="0016675F">
        <w:rPr>
          <w:rFonts w:ascii="Arial" w:hAnsi="Arial" w:cs="Arial"/>
          <w:sz w:val="20"/>
          <w:szCs w:val="20"/>
        </w:rPr>
        <w:t xml:space="preserve">All submissions are subject to the Official Information Act and can be released (along with personal details of the submitter) under the Act. If you have specific reasons for wanting to have your submission or personal details withheld, please set out your reasons in the submission. MPI will consider those reasons when making any assessment for the release of submissions if requested under the Official Information Act. </w:t>
      </w:r>
    </w:p>
    <w:p w14:paraId="07B06076" w14:textId="1471456B" w:rsidR="003B4682" w:rsidRDefault="003B4682">
      <w:pPr>
        <w:rPr>
          <w:rFonts w:ascii="Arial" w:hAnsi="Arial" w:cs="Arial"/>
          <w:sz w:val="20"/>
          <w:szCs w:val="20"/>
        </w:rPr>
      </w:pPr>
      <w:r>
        <w:rPr>
          <w:rFonts w:ascii="Arial" w:hAnsi="Arial" w:cs="Arial"/>
          <w:sz w:val="20"/>
          <w:szCs w:val="20"/>
        </w:rPr>
        <w:br w:type="page"/>
      </w:r>
    </w:p>
    <w:p w14:paraId="1A4729BE" w14:textId="39DA7795" w:rsidR="00EA2FEA" w:rsidRPr="00C7480C" w:rsidRDefault="0081318E" w:rsidP="0081318E">
      <w:pPr>
        <w:pStyle w:val="Heading3"/>
        <w:rPr>
          <w:color w:val="000000" w:themeColor="text1"/>
          <w:sz w:val="24"/>
        </w:rPr>
      </w:pPr>
      <w:r w:rsidRPr="00C7480C">
        <w:rPr>
          <w:color w:val="000000" w:themeColor="text1"/>
          <w:sz w:val="24"/>
        </w:rPr>
        <w:lastRenderedPageBreak/>
        <w:t>The problem</w:t>
      </w:r>
    </w:p>
    <w:p w14:paraId="3669ACEB" w14:textId="77777777" w:rsidR="0081318E" w:rsidRDefault="0081318E" w:rsidP="0081318E">
      <w:pPr>
        <w:tabs>
          <w:tab w:val="left" w:pos="0"/>
          <w:tab w:val="left" w:pos="284"/>
        </w:tabs>
        <w:spacing w:after="0"/>
        <w:rPr>
          <w:rFonts w:ascii="Arial" w:eastAsia="Arial" w:hAnsi="Arial" w:cs="Arial"/>
          <w:sz w:val="20"/>
        </w:rPr>
      </w:pPr>
    </w:p>
    <w:p w14:paraId="744ED3EF" w14:textId="77777777" w:rsidR="00FC439C" w:rsidRDefault="0081318E" w:rsidP="0081318E">
      <w:pPr>
        <w:tabs>
          <w:tab w:val="left" w:pos="0"/>
          <w:tab w:val="left" w:pos="284"/>
        </w:tabs>
        <w:spacing w:after="0"/>
        <w:rPr>
          <w:rFonts w:ascii="Arial" w:eastAsia="Arial" w:hAnsi="Arial" w:cs="Arial"/>
          <w:sz w:val="20"/>
        </w:rPr>
      </w:pPr>
      <w:r w:rsidRPr="0081318E">
        <w:rPr>
          <w:rFonts w:ascii="Arial" w:eastAsia="Arial" w:hAnsi="Arial" w:cs="Arial"/>
          <w:sz w:val="20"/>
        </w:rPr>
        <w:t xml:space="preserve">The number of folic acid-sensitive NTD-affected pregnancies in New Zealand could be reduced if the blood folate levels of women of childbearing age was improved. Most women of childbearing age cannot get enough folate from natural food sources to ensure optimal blood folate levels for the prevention of NTDs. </w:t>
      </w:r>
    </w:p>
    <w:p w14:paraId="29E248A8" w14:textId="77777777" w:rsidR="00FC439C" w:rsidRDefault="00FC439C" w:rsidP="0081318E">
      <w:pPr>
        <w:tabs>
          <w:tab w:val="left" w:pos="0"/>
          <w:tab w:val="left" w:pos="284"/>
        </w:tabs>
        <w:spacing w:after="0"/>
        <w:rPr>
          <w:rFonts w:ascii="Arial" w:eastAsia="Arial" w:hAnsi="Arial" w:cs="Arial"/>
          <w:sz w:val="20"/>
        </w:rPr>
      </w:pPr>
    </w:p>
    <w:p w14:paraId="2CF69699" w14:textId="282EAB4F" w:rsidR="006954E1" w:rsidRDefault="0081318E" w:rsidP="0081318E">
      <w:pPr>
        <w:tabs>
          <w:tab w:val="left" w:pos="0"/>
          <w:tab w:val="left" w:pos="284"/>
        </w:tabs>
        <w:spacing w:after="0"/>
        <w:rPr>
          <w:rFonts w:ascii="Arial" w:eastAsia="Arial" w:hAnsi="Arial" w:cs="Arial"/>
          <w:sz w:val="20"/>
        </w:rPr>
      </w:pPr>
      <w:r w:rsidRPr="0081318E">
        <w:rPr>
          <w:rFonts w:ascii="Arial" w:eastAsia="Arial" w:hAnsi="Arial" w:cs="Arial"/>
          <w:sz w:val="20"/>
        </w:rPr>
        <w:t>Supplementation only works for women who plan their pregnancies and know about the importance of taking folic acid tablets during the critical period of at least one month before and for the three months following conception.</w:t>
      </w:r>
      <w:r w:rsidR="00105533" w:rsidRPr="00105533">
        <w:rPr>
          <w:rFonts w:ascii="Arial" w:eastAsia="Arial" w:hAnsi="Arial" w:cs="Arial"/>
          <w:sz w:val="20"/>
        </w:rPr>
        <w:t xml:space="preserve"> </w:t>
      </w:r>
      <w:r w:rsidR="00FC439C" w:rsidRPr="00FC439C">
        <w:rPr>
          <w:rFonts w:ascii="Arial" w:eastAsia="Arial" w:hAnsi="Arial" w:cs="Arial"/>
          <w:sz w:val="20"/>
        </w:rPr>
        <w:t>Around 53% of New Zealand pregnancies are unplanned</w:t>
      </w:r>
      <w:r w:rsidR="00FC439C">
        <w:rPr>
          <w:rFonts w:ascii="Arial" w:eastAsia="Arial" w:hAnsi="Arial" w:cs="Arial"/>
          <w:sz w:val="20"/>
        </w:rPr>
        <w:t>.</w:t>
      </w:r>
    </w:p>
    <w:p w14:paraId="0B1E408D" w14:textId="77777777" w:rsidR="006954E1" w:rsidRDefault="006954E1" w:rsidP="0081318E">
      <w:pPr>
        <w:tabs>
          <w:tab w:val="left" w:pos="0"/>
          <w:tab w:val="left" w:pos="284"/>
        </w:tabs>
        <w:spacing w:after="0"/>
        <w:rPr>
          <w:rFonts w:ascii="Arial" w:eastAsia="Arial" w:hAnsi="Arial" w:cs="Arial"/>
          <w:sz w:val="20"/>
        </w:rPr>
      </w:pPr>
    </w:p>
    <w:p w14:paraId="432CC208" w14:textId="0AFC4636" w:rsidR="0081318E" w:rsidRPr="0081318E" w:rsidRDefault="00105533" w:rsidP="0081318E">
      <w:pPr>
        <w:tabs>
          <w:tab w:val="left" w:pos="0"/>
          <w:tab w:val="left" w:pos="284"/>
        </w:tabs>
        <w:spacing w:after="0"/>
        <w:rPr>
          <w:rFonts w:ascii="Arial" w:hAnsi="Arial" w:cs="Arial"/>
          <w:sz w:val="18"/>
          <w:szCs w:val="20"/>
        </w:rPr>
      </w:pPr>
      <w:r w:rsidRPr="00105533">
        <w:rPr>
          <w:rFonts w:ascii="Arial" w:eastAsia="Arial" w:hAnsi="Arial" w:cs="Arial"/>
          <w:sz w:val="20"/>
        </w:rPr>
        <w:t>Some foods are voluntarily fortified with folic acid</w:t>
      </w:r>
      <w:r w:rsidR="00F60C72">
        <w:rPr>
          <w:rFonts w:ascii="Arial" w:eastAsia="Arial" w:hAnsi="Arial" w:cs="Arial"/>
          <w:sz w:val="20"/>
        </w:rPr>
        <w:t xml:space="preserve">. This is not enough, however, to sufficiently reduce the risk of NTD-affected pregnancies across the New Zealand population. </w:t>
      </w:r>
      <w:r w:rsidRPr="00105533">
        <w:rPr>
          <w:rFonts w:ascii="Arial" w:eastAsia="Arial" w:hAnsi="Arial" w:cs="Arial"/>
          <w:sz w:val="20"/>
        </w:rPr>
        <w:t xml:space="preserve"> </w:t>
      </w:r>
    </w:p>
    <w:p w14:paraId="54D4C728" w14:textId="77777777" w:rsidR="0081318E" w:rsidRDefault="0081318E" w:rsidP="0081318E">
      <w:pPr>
        <w:tabs>
          <w:tab w:val="left" w:pos="0"/>
          <w:tab w:val="left" w:pos="284"/>
        </w:tabs>
        <w:spacing w:after="0"/>
        <w:rPr>
          <w:rFonts w:ascii="Arial" w:hAnsi="Arial" w:cs="Arial"/>
          <w:sz w:val="20"/>
          <w:szCs w:val="20"/>
        </w:rPr>
      </w:pPr>
    </w:p>
    <w:p w14:paraId="1C1A1DE6" w14:textId="7C98A349" w:rsidR="0045543D" w:rsidRPr="00C7480C" w:rsidRDefault="0081318E" w:rsidP="0081318E">
      <w:pPr>
        <w:pStyle w:val="ListParagraph"/>
        <w:numPr>
          <w:ilvl w:val="0"/>
          <w:numId w:val="43"/>
        </w:numPr>
        <w:tabs>
          <w:tab w:val="left" w:pos="0"/>
          <w:tab w:val="left" w:pos="284"/>
        </w:tabs>
        <w:spacing w:after="0"/>
        <w:rPr>
          <w:rFonts w:ascii="Arial" w:hAnsi="Arial" w:cs="Arial"/>
          <w:b/>
          <w:sz w:val="20"/>
          <w:szCs w:val="20"/>
        </w:rPr>
      </w:pPr>
      <w:r w:rsidRPr="00C7480C">
        <w:rPr>
          <w:rFonts w:ascii="Arial" w:hAnsi="Arial" w:cs="Arial"/>
          <w:b/>
          <w:sz w:val="20"/>
          <w:szCs w:val="20"/>
        </w:rPr>
        <w:t xml:space="preserve">DO YOU AGREE WITH THE PROBLEM AS STATED? </w:t>
      </w:r>
    </w:p>
    <w:p w14:paraId="06BD3417" w14:textId="77777777" w:rsidR="0081318E" w:rsidRPr="0081318E" w:rsidRDefault="0081318E" w:rsidP="0081318E">
      <w:pPr>
        <w:pStyle w:val="ListParagraph"/>
        <w:tabs>
          <w:tab w:val="left" w:pos="0"/>
          <w:tab w:val="left" w:pos="284"/>
        </w:tabs>
        <w:spacing w:after="0"/>
        <w:rPr>
          <w:rFonts w:ascii="Arial" w:hAnsi="Arial" w:cs="Arial"/>
          <w:sz w:val="20"/>
          <w:szCs w:val="20"/>
        </w:rPr>
      </w:pPr>
    </w:p>
    <w:p w14:paraId="245C7266" w14:textId="0C886A88" w:rsidR="0045543D" w:rsidRPr="0016675F" w:rsidRDefault="00647DFA" w:rsidP="5D22F74A">
      <w:pPr>
        <w:tabs>
          <w:tab w:val="left" w:pos="0"/>
          <w:tab w:val="left" w:pos="284"/>
        </w:tabs>
        <w:spacing w:after="0"/>
        <w:ind w:left="568" w:hanging="284"/>
        <w:rPr>
          <w:rFonts w:ascii="Arial" w:hAnsi="Arial" w:cs="Arial"/>
          <w:sz w:val="20"/>
          <w:szCs w:val="20"/>
        </w:rPr>
      </w:pPr>
      <w:sdt>
        <w:sdtPr>
          <w:rPr>
            <w:rFonts w:ascii="Arial" w:hAnsi="Arial" w:cs="Arial"/>
            <w:sz w:val="20"/>
            <w:szCs w:val="20"/>
          </w:rPr>
          <w:id w:val="-404145979"/>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45543D" w:rsidRPr="0016675F">
        <w:rPr>
          <w:rFonts w:ascii="Arial" w:hAnsi="Arial" w:cs="Arial"/>
          <w:sz w:val="20"/>
          <w:szCs w:val="20"/>
        </w:rPr>
        <w:t xml:space="preserve"> </w:t>
      </w:r>
      <w:r w:rsidR="00D67BE7">
        <w:rPr>
          <w:rFonts w:ascii="Arial" w:hAnsi="Arial" w:cs="Arial"/>
          <w:sz w:val="20"/>
          <w:szCs w:val="20"/>
        </w:rPr>
        <w:t>Agree</w:t>
      </w:r>
      <w:r w:rsidR="00955374" w:rsidRPr="0016675F">
        <w:rPr>
          <w:rFonts w:ascii="Arial" w:hAnsi="Arial" w:cs="Arial"/>
          <w:sz w:val="20"/>
          <w:szCs w:val="20"/>
        </w:rPr>
        <w:t>.</w:t>
      </w:r>
    </w:p>
    <w:p w14:paraId="5284E980" w14:textId="40001C50" w:rsidR="0045543D" w:rsidRPr="0016675F" w:rsidRDefault="00647DFA" w:rsidP="5D22F74A">
      <w:pPr>
        <w:tabs>
          <w:tab w:val="left" w:pos="0"/>
          <w:tab w:val="left" w:pos="284"/>
        </w:tabs>
        <w:spacing w:after="0"/>
        <w:ind w:left="568" w:hanging="284"/>
        <w:rPr>
          <w:rFonts w:ascii="Arial" w:hAnsi="Arial" w:cs="Arial"/>
          <w:sz w:val="20"/>
          <w:szCs w:val="20"/>
        </w:rPr>
      </w:pPr>
      <w:sdt>
        <w:sdtPr>
          <w:rPr>
            <w:rFonts w:ascii="Arial" w:hAnsi="Arial" w:cs="Arial"/>
            <w:sz w:val="20"/>
            <w:szCs w:val="20"/>
          </w:rPr>
          <w:id w:val="-1076123899"/>
          <w14:checkbox>
            <w14:checked w14:val="0"/>
            <w14:checkedState w14:val="2612" w14:font="MS Gothic"/>
            <w14:uncheckedState w14:val="2610" w14:font="MS Gothic"/>
          </w14:checkbox>
        </w:sdtPr>
        <w:sdtEndPr/>
        <w:sdtContent>
          <w:r w:rsidR="0045543D" w:rsidRPr="0016675F">
            <w:rPr>
              <w:rFonts w:ascii="Segoe UI Symbol" w:eastAsia="MS Gothic" w:hAnsi="Segoe UI Symbol" w:cs="Segoe UI Symbol"/>
              <w:sz w:val="20"/>
              <w:szCs w:val="20"/>
            </w:rPr>
            <w:t>☐</w:t>
          </w:r>
        </w:sdtContent>
      </w:sdt>
      <w:r w:rsidR="0045543D" w:rsidRPr="0016675F">
        <w:rPr>
          <w:rFonts w:ascii="Arial" w:hAnsi="Arial" w:cs="Arial"/>
          <w:sz w:val="20"/>
          <w:szCs w:val="20"/>
        </w:rPr>
        <w:t xml:space="preserve"> </w:t>
      </w:r>
      <w:r w:rsidR="00D67BE7">
        <w:rPr>
          <w:rFonts w:ascii="Arial" w:hAnsi="Arial" w:cs="Arial"/>
          <w:sz w:val="20"/>
          <w:szCs w:val="20"/>
        </w:rPr>
        <w:t>Disagree</w:t>
      </w:r>
      <w:r w:rsidR="00955374" w:rsidRPr="0016675F">
        <w:rPr>
          <w:rFonts w:ascii="Arial" w:hAnsi="Arial" w:cs="Arial"/>
          <w:sz w:val="20"/>
          <w:szCs w:val="20"/>
        </w:rPr>
        <w:t>.</w:t>
      </w:r>
    </w:p>
    <w:p w14:paraId="69DDC08C" w14:textId="095253E8" w:rsidR="003056C6"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1484007575"/>
          <w14:checkbox>
            <w14:checked w14:val="0"/>
            <w14:checkedState w14:val="2612" w14:font="MS Gothic"/>
            <w14:uncheckedState w14:val="2610" w14:font="MS Gothic"/>
          </w14:checkbox>
        </w:sdtPr>
        <w:sdtEndPr/>
        <w:sdtContent>
          <w:r w:rsidR="0045543D" w:rsidRPr="0016675F">
            <w:rPr>
              <w:rFonts w:ascii="Segoe UI Symbol" w:eastAsia="MS Gothic" w:hAnsi="Segoe UI Symbol" w:cs="Segoe UI Symbol"/>
              <w:sz w:val="20"/>
              <w:szCs w:val="20"/>
            </w:rPr>
            <w:t>☐</w:t>
          </w:r>
        </w:sdtContent>
      </w:sdt>
      <w:r w:rsidR="0045543D" w:rsidRPr="0016675F">
        <w:rPr>
          <w:rFonts w:ascii="Arial" w:hAnsi="Arial" w:cs="Arial"/>
          <w:sz w:val="20"/>
          <w:szCs w:val="20"/>
        </w:rPr>
        <w:t xml:space="preserve"> </w:t>
      </w:r>
      <w:r w:rsidR="0081318E">
        <w:rPr>
          <w:rFonts w:ascii="Arial" w:hAnsi="Arial" w:cs="Arial"/>
          <w:sz w:val="20"/>
          <w:szCs w:val="20"/>
        </w:rPr>
        <w:t>Unsure</w:t>
      </w:r>
      <w:r w:rsidR="00955374" w:rsidRPr="0016675F">
        <w:rPr>
          <w:rFonts w:ascii="Arial" w:hAnsi="Arial" w:cs="Arial"/>
          <w:sz w:val="20"/>
          <w:szCs w:val="20"/>
        </w:rPr>
        <w:t>.</w:t>
      </w:r>
    </w:p>
    <w:p w14:paraId="72F49605" w14:textId="77777777" w:rsidR="007C55F5" w:rsidRDefault="007C55F5" w:rsidP="00321576">
      <w:pPr>
        <w:tabs>
          <w:tab w:val="left" w:pos="284"/>
        </w:tabs>
        <w:spacing w:after="0"/>
        <w:ind w:firstLine="284"/>
        <w:rPr>
          <w:rFonts w:ascii="Arial" w:hAnsi="Arial" w:cs="Arial"/>
          <w:sz w:val="20"/>
          <w:szCs w:val="20"/>
        </w:rPr>
      </w:pPr>
    </w:p>
    <w:p w14:paraId="55E0CF79" w14:textId="0C7B7993" w:rsidR="00B32CBB" w:rsidRDefault="002D478D" w:rsidP="00321576">
      <w:pPr>
        <w:tabs>
          <w:tab w:val="left" w:pos="284"/>
        </w:tabs>
        <w:spacing w:after="0"/>
        <w:ind w:firstLine="284"/>
        <w:rPr>
          <w:rFonts w:ascii="Arial" w:hAnsi="Arial" w:cs="Arial"/>
          <w:sz w:val="20"/>
          <w:szCs w:val="20"/>
        </w:rPr>
      </w:pPr>
      <w:r>
        <w:rPr>
          <w:rFonts w:ascii="Arial" w:hAnsi="Arial" w:cs="Arial"/>
          <w:sz w:val="20"/>
          <w:szCs w:val="20"/>
        </w:rPr>
        <w:t>Please explain why:</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B32CBB" w:rsidRPr="00312439" w14:paraId="0240E5D4" w14:textId="77777777" w:rsidTr="00B32CBB">
        <w:trPr>
          <w:cantSplit/>
        </w:trPr>
        <w:tc>
          <w:tcPr>
            <w:tcW w:w="9176" w:type="dxa"/>
            <w:tcBorders>
              <w:bottom w:val="single" w:sz="24" w:space="0" w:color="FFFFFF"/>
            </w:tcBorders>
            <w:shd w:val="clear" w:color="auto" w:fill="E6E6E6"/>
          </w:tcPr>
          <w:p w14:paraId="592AC1C1" w14:textId="77777777" w:rsidR="009F1AD9" w:rsidRPr="000C25CE" w:rsidRDefault="009F1AD9" w:rsidP="009F1AD9">
            <w:pPr>
              <w:rPr>
                <w:rFonts w:ascii="Arial" w:hAnsi="Arial" w:cs="Arial"/>
                <w:sz w:val="20"/>
                <w:szCs w:val="20"/>
              </w:rPr>
            </w:pPr>
            <w:r w:rsidRPr="000C25CE">
              <w:rPr>
                <w:rFonts w:ascii="Arial" w:hAnsi="Arial" w:cs="Arial"/>
                <w:sz w:val="20"/>
                <w:szCs w:val="20"/>
              </w:rPr>
              <w:t xml:space="preserve">The Cancer Society NZ is a non-profit organisation which aims to minimise the incidence and impact of cancer on all those living in New Zealand. We work across the cancer continuum with key work areas that include health promotion, supportive care, provision of information and resources, and funding of research. The Cancer Society NZ is making a submission on folate fortification of food due to the potential for </w:t>
            </w:r>
            <w:r>
              <w:rPr>
                <w:rFonts w:ascii="Arial" w:hAnsi="Arial" w:cs="Arial"/>
                <w:sz w:val="20"/>
                <w:szCs w:val="20"/>
              </w:rPr>
              <w:t xml:space="preserve">both </w:t>
            </w:r>
            <w:r w:rsidRPr="000C25CE">
              <w:rPr>
                <w:rFonts w:ascii="Arial" w:hAnsi="Arial" w:cs="Arial"/>
                <w:sz w:val="20"/>
                <w:szCs w:val="20"/>
              </w:rPr>
              <w:t>protective and adverse effects</w:t>
            </w:r>
            <w:r>
              <w:rPr>
                <w:rFonts w:ascii="Arial" w:hAnsi="Arial" w:cs="Arial"/>
                <w:sz w:val="20"/>
                <w:szCs w:val="20"/>
              </w:rPr>
              <w:t xml:space="preserve"> of folate on cancer risk</w:t>
            </w:r>
            <w:r w:rsidRPr="000C25CE">
              <w:rPr>
                <w:rFonts w:ascii="Arial" w:hAnsi="Arial" w:cs="Arial"/>
                <w:sz w:val="20"/>
                <w:szCs w:val="20"/>
              </w:rPr>
              <w:t xml:space="preserve">.   </w:t>
            </w:r>
          </w:p>
          <w:p w14:paraId="5857EB7E" w14:textId="77777777" w:rsidR="009F1AD9" w:rsidRPr="000C25CE" w:rsidRDefault="009F1AD9" w:rsidP="009F1AD9">
            <w:pPr>
              <w:spacing w:after="120"/>
              <w:rPr>
                <w:rFonts w:ascii="Arial" w:hAnsi="Arial" w:cs="Arial"/>
                <w:sz w:val="20"/>
                <w:szCs w:val="20"/>
              </w:rPr>
            </w:pPr>
            <w:r w:rsidRPr="000C25CE">
              <w:rPr>
                <w:rFonts w:ascii="Arial" w:hAnsi="Arial" w:cs="Arial"/>
                <w:sz w:val="20"/>
                <w:szCs w:val="20"/>
              </w:rPr>
              <w:t xml:space="preserve">The Cancer Society NZ </w:t>
            </w:r>
            <w:r>
              <w:rPr>
                <w:rFonts w:ascii="Arial" w:hAnsi="Arial" w:cs="Arial"/>
                <w:sz w:val="20"/>
                <w:szCs w:val="20"/>
              </w:rPr>
              <w:t>supports the e</w:t>
            </w:r>
            <w:r w:rsidRPr="000C25CE">
              <w:rPr>
                <w:rFonts w:ascii="Arial" w:hAnsi="Arial" w:cs="Arial"/>
                <w:sz w:val="20"/>
                <w:szCs w:val="20"/>
              </w:rPr>
              <w:t xml:space="preserve">vidence for the protective effects of folic acid to reduce neural tube defect (NTD) risk in babies </w:t>
            </w:r>
            <w:r>
              <w:rPr>
                <w:rFonts w:ascii="Arial" w:hAnsi="Arial" w:cs="Arial"/>
                <w:sz w:val="20"/>
                <w:szCs w:val="20"/>
              </w:rPr>
              <w:t>that has</w:t>
            </w:r>
            <w:r w:rsidRPr="000C25CE">
              <w:rPr>
                <w:rFonts w:ascii="Arial" w:hAnsi="Arial" w:cs="Arial"/>
                <w:sz w:val="20"/>
                <w:szCs w:val="20"/>
              </w:rPr>
              <w:t xml:space="preserve"> been clearly identified by literature provided by MPI</w:t>
            </w:r>
            <w:r w:rsidRPr="000C25CE">
              <w:rPr>
                <w:rStyle w:val="FootnoteReference"/>
                <w:rFonts w:ascii="Arial" w:hAnsi="Arial" w:cs="Arial"/>
                <w:sz w:val="20"/>
                <w:szCs w:val="20"/>
              </w:rPr>
              <w:footnoteReference w:id="2"/>
            </w:r>
            <w:r w:rsidRPr="000C25CE">
              <w:rPr>
                <w:rFonts w:ascii="Arial" w:hAnsi="Arial" w:cs="Arial"/>
                <w:sz w:val="20"/>
                <w:szCs w:val="20"/>
              </w:rPr>
              <w:t>.  Despite folate supplementation peri-conception, voluntary folate fortification since 2009 and rising number of foods identified with folate, many women especially Māori woman do not get sufficient folate and rates of neural tube defects remain too high.</w:t>
            </w:r>
          </w:p>
          <w:p w14:paraId="3FF22D92" w14:textId="77777777" w:rsidR="009F1AD9" w:rsidRPr="000C25CE" w:rsidRDefault="009F1AD9" w:rsidP="009F1AD9">
            <w:pPr>
              <w:tabs>
                <w:tab w:val="left" w:pos="2885"/>
              </w:tabs>
              <w:spacing w:after="120"/>
              <w:rPr>
                <w:rFonts w:ascii="Arial" w:hAnsi="Arial" w:cs="Arial"/>
                <w:sz w:val="20"/>
                <w:szCs w:val="20"/>
              </w:rPr>
            </w:pPr>
            <w:r w:rsidRPr="000C25CE">
              <w:rPr>
                <w:rFonts w:ascii="Arial" w:hAnsi="Arial" w:cs="Arial"/>
                <w:sz w:val="20"/>
                <w:szCs w:val="20"/>
              </w:rPr>
              <w:t xml:space="preserve">Voluntary fortification necessitates the good will of the food industry. The modelling undertaking by MPI has shown insufficient uptake of the Bakers Voluntary Code of Practise to fortify breads by industry with less than the recommended 50% (42%) of food currently fortified.  While improvements in NTDs have improved </w:t>
            </w:r>
            <w:r>
              <w:rPr>
                <w:rFonts w:ascii="Arial" w:hAnsi="Arial" w:cs="Arial"/>
                <w:sz w:val="20"/>
                <w:szCs w:val="20"/>
              </w:rPr>
              <w:t>since 2009</w:t>
            </w:r>
            <w:r w:rsidRPr="000C25CE">
              <w:rPr>
                <w:rFonts w:ascii="Arial" w:hAnsi="Arial" w:cs="Arial"/>
                <w:sz w:val="20"/>
                <w:szCs w:val="20"/>
              </w:rPr>
              <w:t>, woman of child bearing age con</w:t>
            </w:r>
            <w:r>
              <w:rPr>
                <w:rFonts w:ascii="Arial" w:hAnsi="Arial" w:cs="Arial"/>
                <w:sz w:val="20"/>
                <w:szCs w:val="20"/>
              </w:rPr>
              <w:t>tinue to have low folate levels and</w:t>
            </w:r>
            <w:r w:rsidRPr="000C25CE">
              <w:rPr>
                <w:rFonts w:ascii="Arial" w:hAnsi="Arial" w:cs="Arial"/>
                <w:sz w:val="20"/>
                <w:szCs w:val="20"/>
              </w:rPr>
              <w:t xml:space="preserve"> high NTD rates and inequity continues</w:t>
            </w:r>
            <w:r w:rsidRPr="000C25CE">
              <w:rPr>
                <w:rStyle w:val="FootnoteReference"/>
                <w:rFonts w:ascii="Arial" w:hAnsi="Arial" w:cs="Arial"/>
                <w:sz w:val="20"/>
                <w:szCs w:val="20"/>
              </w:rPr>
              <w:footnoteReference w:id="3"/>
            </w:r>
            <w:r w:rsidRPr="000C25CE">
              <w:rPr>
                <w:rFonts w:ascii="Arial" w:hAnsi="Arial" w:cs="Arial"/>
                <w:sz w:val="20"/>
                <w:szCs w:val="20"/>
              </w:rPr>
              <w:t xml:space="preserve">. The industry lead code for voluntary fortification of breads has been insufficient to improve NTDs markedly and even less so for our most vulnerable populations.  </w:t>
            </w:r>
          </w:p>
          <w:p w14:paraId="48CB09FD" w14:textId="77777777" w:rsidR="009F1AD9" w:rsidRDefault="009F1AD9" w:rsidP="009F1AD9">
            <w:pPr>
              <w:spacing w:after="120"/>
              <w:rPr>
                <w:rFonts w:ascii="Arial" w:hAnsi="Arial" w:cs="Arial"/>
                <w:sz w:val="20"/>
                <w:szCs w:val="20"/>
              </w:rPr>
            </w:pPr>
            <w:r w:rsidRPr="000C25CE">
              <w:rPr>
                <w:rFonts w:ascii="Arial" w:hAnsi="Arial" w:cs="Arial"/>
                <w:sz w:val="20"/>
                <w:szCs w:val="20"/>
              </w:rPr>
              <w:t>Due to the continued high levels of NTDs and barriers for women of childbearing age to obtain adequate folate, the Cancer Society NZ agrees that voluntary fortification is insufficient and stronger measures are needed to promote folate intake to reduce rates of NTDs.</w:t>
            </w:r>
            <w:r>
              <w:rPr>
                <w:rFonts w:ascii="Arial" w:hAnsi="Arial" w:cs="Arial"/>
                <w:sz w:val="20"/>
                <w:szCs w:val="20"/>
              </w:rPr>
              <w:t xml:space="preserve">  </w:t>
            </w:r>
          </w:p>
          <w:p w14:paraId="15B2AA6D" w14:textId="4618C2FA" w:rsidR="00B32CBB" w:rsidRPr="00312439" w:rsidRDefault="009F1AD9" w:rsidP="00A67F58">
            <w:pPr>
              <w:spacing w:after="120"/>
              <w:rPr>
                <w:rFonts w:ascii="Arial" w:hAnsi="Arial" w:cs="Arial"/>
                <w:sz w:val="20"/>
                <w:szCs w:val="20"/>
              </w:rPr>
            </w:pPr>
            <w:r>
              <w:rPr>
                <w:rFonts w:ascii="Arial" w:hAnsi="Arial" w:cs="Arial"/>
                <w:sz w:val="20"/>
                <w:szCs w:val="20"/>
              </w:rPr>
              <w:t>However due</w:t>
            </w:r>
            <w:r w:rsidRPr="00AF238C">
              <w:rPr>
                <w:rFonts w:ascii="Arial" w:hAnsi="Arial" w:cs="Arial"/>
                <w:sz w:val="20"/>
                <w:szCs w:val="20"/>
              </w:rPr>
              <w:t xml:space="preserve"> to the research inconsistencies about folate supplementation and </w:t>
            </w:r>
            <w:r>
              <w:rPr>
                <w:rFonts w:ascii="Arial" w:hAnsi="Arial" w:cs="Arial"/>
                <w:sz w:val="20"/>
                <w:szCs w:val="20"/>
              </w:rPr>
              <w:t xml:space="preserve">adverse </w:t>
            </w:r>
            <w:r w:rsidRPr="00AF238C">
              <w:rPr>
                <w:rFonts w:ascii="Arial" w:hAnsi="Arial" w:cs="Arial"/>
                <w:sz w:val="20"/>
                <w:szCs w:val="20"/>
              </w:rPr>
              <w:t>cancer risk the C</w:t>
            </w:r>
            <w:r>
              <w:rPr>
                <w:rFonts w:ascii="Arial" w:hAnsi="Arial" w:cs="Arial"/>
                <w:sz w:val="20"/>
                <w:szCs w:val="20"/>
              </w:rPr>
              <w:t>ancer Society also recommends</w:t>
            </w:r>
            <w:r w:rsidRPr="00AF238C">
              <w:rPr>
                <w:rFonts w:ascii="Arial" w:hAnsi="Arial" w:cs="Arial"/>
                <w:sz w:val="20"/>
                <w:szCs w:val="20"/>
              </w:rPr>
              <w:t xml:space="preserve"> </w:t>
            </w:r>
            <w:r>
              <w:rPr>
                <w:rFonts w:ascii="Arial" w:hAnsi="Arial" w:cs="Arial"/>
                <w:sz w:val="20"/>
                <w:szCs w:val="20"/>
              </w:rPr>
              <w:t xml:space="preserve">its </w:t>
            </w:r>
            <w:r w:rsidRPr="00AF238C">
              <w:rPr>
                <w:rFonts w:ascii="Arial" w:hAnsi="Arial" w:cs="Arial"/>
                <w:sz w:val="20"/>
                <w:szCs w:val="20"/>
              </w:rPr>
              <w:t>continued research and monitoring</w:t>
            </w:r>
            <w:r>
              <w:rPr>
                <w:rFonts w:ascii="Arial" w:hAnsi="Arial" w:cs="Arial"/>
                <w:sz w:val="20"/>
                <w:szCs w:val="20"/>
              </w:rPr>
              <w:t xml:space="preserve"> (see below)</w:t>
            </w:r>
            <w:r w:rsidRPr="00AF238C">
              <w:rPr>
                <w:rFonts w:ascii="Arial" w:hAnsi="Arial" w:cs="Arial"/>
                <w:sz w:val="20"/>
                <w:szCs w:val="20"/>
              </w:rPr>
              <w:t>.</w:t>
            </w:r>
          </w:p>
        </w:tc>
      </w:tr>
    </w:tbl>
    <w:p w14:paraId="4DFD6EF0" w14:textId="77777777" w:rsidR="0081318E" w:rsidRPr="00C7480C" w:rsidRDefault="0081318E" w:rsidP="0081318E">
      <w:pPr>
        <w:pStyle w:val="Heading3"/>
        <w:rPr>
          <w:rFonts w:eastAsia="Arial"/>
          <w:color w:val="000000" w:themeColor="text1"/>
          <w:sz w:val="24"/>
        </w:rPr>
      </w:pPr>
      <w:r w:rsidRPr="00C7480C">
        <w:rPr>
          <w:rFonts w:eastAsia="Arial"/>
          <w:color w:val="000000" w:themeColor="text1"/>
          <w:sz w:val="24"/>
        </w:rPr>
        <w:lastRenderedPageBreak/>
        <w:t>The objective of the review</w:t>
      </w:r>
    </w:p>
    <w:p w14:paraId="5A189E4C" w14:textId="77777777" w:rsidR="0081318E" w:rsidRDefault="0081318E" w:rsidP="0081318E">
      <w:pPr>
        <w:spacing w:after="120"/>
        <w:rPr>
          <w:rFonts w:eastAsia="Arial"/>
        </w:rPr>
      </w:pPr>
    </w:p>
    <w:p w14:paraId="0E95DA70" w14:textId="5791BB41" w:rsidR="0081318E" w:rsidRPr="0081318E" w:rsidRDefault="0081318E" w:rsidP="0081318E">
      <w:pPr>
        <w:rPr>
          <w:rFonts w:ascii="Arial" w:hAnsi="Arial" w:cs="Arial"/>
          <w:sz w:val="20"/>
        </w:rPr>
      </w:pPr>
      <w:r w:rsidRPr="0081318E">
        <w:rPr>
          <w:rFonts w:ascii="Arial" w:eastAsia="Arial" w:hAnsi="Arial" w:cs="Arial"/>
          <w:sz w:val="20"/>
        </w:rPr>
        <w:t>The objective of this review is to increase the consumption of food containing folic acid by women of childbearing age, thereby reducing the number of NTD-affected pregnancies, while considering consumer choice, increasing equity of health outcomes, and minimising impacts on industry.</w:t>
      </w:r>
    </w:p>
    <w:p w14:paraId="25E9A7B9" w14:textId="43DC5D1F" w:rsidR="0081318E" w:rsidRPr="00C7480C" w:rsidRDefault="0081318E" w:rsidP="0081318E">
      <w:pPr>
        <w:pStyle w:val="ListParagraph"/>
        <w:numPr>
          <w:ilvl w:val="0"/>
          <w:numId w:val="43"/>
        </w:numPr>
        <w:rPr>
          <w:rFonts w:ascii="Arial" w:hAnsi="Arial" w:cs="Arial"/>
          <w:b/>
          <w:sz w:val="20"/>
        </w:rPr>
      </w:pPr>
      <w:r w:rsidRPr="00C7480C">
        <w:rPr>
          <w:rFonts w:ascii="Arial" w:hAnsi="Arial" w:cs="Arial"/>
          <w:b/>
          <w:sz w:val="20"/>
        </w:rPr>
        <w:t xml:space="preserve">DO YOU AGREE WITH THE OBJECTIVE OF THE REVIEW? </w:t>
      </w:r>
    </w:p>
    <w:p w14:paraId="11AF5CD9" w14:textId="0373E32C"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352008411"/>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81318E" w:rsidRPr="0016675F">
        <w:rPr>
          <w:rFonts w:ascii="Arial" w:hAnsi="Arial" w:cs="Arial"/>
          <w:sz w:val="20"/>
          <w:szCs w:val="20"/>
        </w:rPr>
        <w:t xml:space="preserve"> </w:t>
      </w:r>
      <w:r w:rsidR="00D67BE7">
        <w:rPr>
          <w:rFonts w:ascii="Arial" w:hAnsi="Arial" w:cs="Arial"/>
          <w:sz w:val="20"/>
          <w:szCs w:val="20"/>
        </w:rPr>
        <w:t>Agree</w:t>
      </w:r>
      <w:r w:rsidR="0081318E" w:rsidRPr="0016675F">
        <w:rPr>
          <w:rFonts w:ascii="Arial" w:hAnsi="Arial" w:cs="Arial"/>
          <w:sz w:val="20"/>
          <w:szCs w:val="20"/>
        </w:rPr>
        <w:t>.</w:t>
      </w:r>
    </w:p>
    <w:p w14:paraId="0F89B77E" w14:textId="3291C1F6"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1970001101"/>
          <w14:checkbox>
            <w14:checked w14:val="0"/>
            <w14:checkedState w14:val="2612" w14:font="MS Gothic"/>
            <w14:uncheckedState w14:val="2610" w14:font="MS Gothic"/>
          </w14:checkbox>
        </w:sdtPr>
        <w:sdtEndPr/>
        <w:sdtContent>
          <w:r w:rsidR="0081318E" w:rsidRPr="0016675F">
            <w:rPr>
              <w:rFonts w:ascii="Segoe UI Symbol" w:eastAsia="MS Gothic" w:hAnsi="Segoe UI Symbol" w:cs="Segoe UI Symbol"/>
              <w:sz w:val="20"/>
              <w:szCs w:val="20"/>
            </w:rPr>
            <w:t>☐</w:t>
          </w:r>
        </w:sdtContent>
      </w:sdt>
      <w:r w:rsidR="0081318E" w:rsidRPr="0016675F">
        <w:rPr>
          <w:rFonts w:ascii="Arial" w:hAnsi="Arial" w:cs="Arial"/>
          <w:sz w:val="20"/>
          <w:szCs w:val="20"/>
        </w:rPr>
        <w:t xml:space="preserve"> </w:t>
      </w:r>
      <w:r w:rsidR="00D67BE7">
        <w:rPr>
          <w:rFonts w:ascii="Arial" w:hAnsi="Arial" w:cs="Arial"/>
          <w:sz w:val="20"/>
          <w:szCs w:val="20"/>
        </w:rPr>
        <w:t>Disagree</w:t>
      </w:r>
      <w:r w:rsidR="0081318E" w:rsidRPr="0016675F">
        <w:rPr>
          <w:rFonts w:ascii="Arial" w:hAnsi="Arial" w:cs="Arial"/>
          <w:sz w:val="20"/>
          <w:szCs w:val="20"/>
        </w:rPr>
        <w:t>.</w:t>
      </w:r>
    </w:p>
    <w:p w14:paraId="31511B44" w14:textId="77777777"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575790232"/>
          <w14:checkbox>
            <w14:checked w14:val="0"/>
            <w14:checkedState w14:val="2612" w14:font="MS Gothic"/>
            <w14:uncheckedState w14:val="2610" w14:font="MS Gothic"/>
          </w14:checkbox>
        </w:sdtPr>
        <w:sdtEndPr/>
        <w:sdtContent>
          <w:r w:rsidR="0081318E" w:rsidRPr="0016675F">
            <w:rPr>
              <w:rFonts w:ascii="Segoe UI Symbol" w:eastAsia="MS Gothic" w:hAnsi="Segoe UI Symbol" w:cs="Segoe UI Symbol"/>
              <w:sz w:val="20"/>
              <w:szCs w:val="20"/>
            </w:rPr>
            <w:t>☐</w:t>
          </w:r>
        </w:sdtContent>
      </w:sdt>
      <w:r w:rsidR="0081318E" w:rsidRPr="0016675F">
        <w:rPr>
          <w:rFonts w:ascii="Arial" w:hAnsi="Arial" w:cs="Arial"/>
          <w:sz w:val="20"/>
          <w:szCs w:val="20"/>
        </w:rPr>
        <w:t xml:space="preserve"> </w:t>
      </w:r>
      <w:r w:rsidR="0081318E">
        <w:rPr>
          <w:rFonts w:ascii="Arial" w:hAnsi="Arial" w:cs="Arial"/>
          <w:sz w:val="20"/>
          <w:szCs w:val="20"/>
        </w:rPr>
        <w:t>Unsure</w:t>
      </w:r>
      <w:r w:rsidR="0081318E" w:rsidRPr="0016675F">
        <w:rPr>
          <w:rFonts w:ascii="Arial" w:hAnsi="Arial" w:cs="Arial"/>
          <w:sz w:val="20"/>
          <w:szCs w:val="20"/>
        </w:rPr>
        <w:t>.</w:t>
      </w:r>
    </w:p>
    <w:p w14:paraId="0F8FC5EA" w14:textId="77777777" w:rsidR="0081318E" w:rsidRDefault="0081318E" w:rsidP="0081318E">
      <w:pPr>
        <w:tabs>
          <w:tab w:val="left" w:pos="284"/>
        </w:tabs>
        <w:spacing w:after="0"/>
        <w:ind w:firstLine="284"/>
        <w:rPr>
          <w:rFonts w:ascii="Arial" w:hAnsi="Arial" w:cs="Arial"/>
          <w:sz w:val="20"/>
          <w:szCs w:val="20"/>
        </w:rPr>
      </w:pPr>
    </w:p>
    <w:p w14:paraId="19A85D0E" w14:textId="77777777" w:rsidR="0081318E" w:rsidRDefault="0081318E" w:rsidP="0081318E">
      <w:pPr>
        <w:tabs>
          <w:tab w:val="left" w:pos="284"/>
        </w:tabs>
        <w:spacing w:after="0"/>
        <w:ind w:firstLine="284"/>
        <w:rPr>
          <w:rFonts w:ascii="Arial" w:hAnsi="Arial" w:cs="Arial"/>
          <w:sz w:val="20"/>
          <w:szCs w:val="20"/>
        </w:rPr>
      </w:pPr>
      <w:r>
        <w:rPr>
          <w:rFonts w:ascii="Arial" w:hAnsi="Arial" w:cs="Arial"/>
          <w:sz w:val="20"/>
          <w:szCs w:val="20"/>
        </w:rPr>
        <w:t>Please explain why:</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81318E" w:rsidRPr="00312439" w14:paraId="3035DB33" w14:textId="77777777" w:rsidTr="00FA22E8">
        <w:trPr>
          <w:cantSplit/>
        </w:trPr>
        <w:tc>
          <w:tcPr>
            <w:tcW w:w="9176" w:type="dxa"/>
            <w:tcBorders>
              <w:bottom w:val="single" w:sz="24" w:space="0" w:color="FFFFFF"/>
            </w:tcBorders>
            <w:shd w:val="clear" w:color="auto" w:fill="E6E6E6"/>
          </w:tcPr>
          <w:p w14:paraId="4195CFEE" w14:textId="77777777" w:rsidR="009F1AD9" w:rsidRPr="008229F7" w:rsidRDefault="009F1AD9" w:rsidP="009F1AD9">
            <w:pPr>
              <w:spacing w:after="160" w:line="259" w:lineRule="auto"/>
              <w:rPr>
                <w:rFonts w:ascii="Arial" w:hAnsi="Arial" w:cs="Arial"/>
                <w:sz w:val="20"/>
                <w:szCs w:val="20"/>
                <w:lang w:val="en-AU"/>
              </w:rPr>
            </w:pPr>
            <w:r w:rsidRPr="008229F7">
              <w:rPr>
                <w:rFonts w:ascii="Arial" w:hAnsi="Arial" w:cs="Arial"/>
                <w:sz w:val="20"/>
                <w:szCs w:val="20"/>
              </w:rPr>
              <w:t>Despite folate being available naturally in our food supply and in fortified foods</w:t>
            </w:r>
            <w:r>
              <w:rPr>
                <w:rFonts w:ascii="Arial" w:hAnsi="Arial" w:cs="Arial"/>
                <w:sz w:val="20"/>
                <w:szCs w:val="20"/>
              </w:rPr>
              <w:t>,</w:t>
            </w:r>
            <w:r w:rsidRPr="008229F7">
              <w:rPr>
                <w:rFonts w:ascii="Arial" w:hAnsi="Arial" w:cs="Arial"/>
                <w:sz w:val="20"/>
                <w:szCs w:val="20"/>
              </w:rPr>
              <w:t xml:space="preserve"> many women (with greater numbers of M</w:t>
            </w:r>
            <w:r>
              <w:rPr>
                <w:rFonts w:ascii="Arial" w:hAnsi="Arial" w:cs="Arial"/>
                <w:sz w:val="20"/>
                <w:szCs w:val="20"/>
              </w:rPr>
              <w:t>ā</w:t>
            </w:r>
            <w:r w:rsidRPr="008229F7">
              <w:rPr>
                <w:rFonts w:ascii="Arial" w:hAnsi="Arial" w:cs="Arial"/>
                <w:sz w:val="20"/>
                <w:szCs w:val="20"/>
              </w:rPr>
              <w:t>ori) do not achieve adequate folate rich diets including fruit, vegetables, breads and cereals</w:t>
            </w:r>
            <w:r>
              <w:rPr>
                <w:rStyle w:val="FootnoteReference"/>
                <w:rFonts w:ascii="Arial" w:hAnsi="Arial" w:cs="Arial"/>
                <w:sz w:val="20"/>
                <w:szCs w:val="20"/>
              </w:rPr>
              <w:footnoteReference w:id="4"/>
            </w:r>
            <w:r w:rsidRPr="008229F7">
              <w:rPr>
                <w:rFonts w:ascii="Arial" w:hAnsi="Arial" w:cs="Arial"/>
                <w:sz w:val="20"/>
                <w:szCs w:val="20"/>
              </w:rPr>
              <w:t xml:space="preserve">. </w:t>
            </w:r>
            <w:r>
              <w:rPr>
                <w:rFonts w:ascii="Arial" w:hAnsi="Arial" w:cs="Arial"/>
                <w:sz w:val="20"/>
                <w:szCs w:val="20"/>
              </w:rPr>
              <w:t xml:space="preserve"> </w:t>
            </w:r>
          </w:p>
          <w:p w14:paraId="2B56BC66" w14:textId="77777777" w:rsidR="009F1AD9" w:rsidRDefault="009F1AD9" w:rsidP="009F1AD9">
            <w:pPr>
              <w:spacing w:after="0" w:line="240" w:lineRule="auto"/>
              <w:rPr>
                <w:rFonts w:ascii="Arial" w:hAnsi="Arial" w:cs="Arial"/>
                <w:sz w:val="20"/>
                <w:szCs w:val="20"/>
              </w:rPr>
            </w:pPr>
            <w:r w:rsidRPr="008229F7">
              <w:rPr>
                <w:rFonts w:ascii="Arial" w:hAnsi="Arial" w:cs="Arial"/>
                <w:sz w:val="20"/>
                <w:szCs w:val="20"/>
              </w:rPr>
              <w:t xml:space="preserve">Folate supplementation </w:t>
            </w:r>
            <w:r>
              <w:rPr>
                <w:rFonts w:ascii="Arial" w:hAnsi="Arial" w:cs="Arial"/>
                <w:sz w:val="20"/>
                <w:szCs w:val="20"/>
              </w:rPr>
              <w:t xml:space="preserve">peri-conception </w:t>
            </w:r>
            <w:r w:rsidRPr="008229F7">
              <w:rPr>
                <w:rFonts w:ascii="Arial" w:hAnsi="Arial" w:cs="Arial"/>
                <w:sz w:val="20"/>
                <w:szCs w:val="20"/>
              </w:rPr>
              <w:t>is also poorly utilised partly as over fifty percent of women do n</w:t>
            </w:r>
            <w:r>
              <w:rPr>
                <w:rFonts w:ascii="Arial" w:hAnsi="Arial" w:cs="Arial"/>
                <w:sz w:val="20"/>
                <w:szCs w:val="20"/>
              </w:rPr>
              <w:t>ot plan</w:t>
            </w:r>
            <w:r w:rsidRPr="008229F7">
              <w:rPr>
                <w:rFonts w:ascii="Arial" w:hAnsi="Arial" w:cs="Arial"/>
                <w:sz w:val="20"/>
                <w:szCs w:val="20"/>
              </w:rPr>
              <w:t xml:space="preserve"> pregnancy or know of their pregnancy until neural tube development is almost complete.  </w:t>
            </w:r>
          </w:p>
          <w:p w14:paraId="39864DDA" w14:textId="77777777" w:rsidR="009F1AD9" w:rsidRPr="008229F7" w:rsidRDefault="009F1AD9" w:rsidP="009F1AD9">
            <w:pPr>
              <w:spacing w:after="0" w:line="240" w:lineRule="auto"/>
              <w:rPr>
                <w:rFonts w:ascii="Arial" w:hAnsi="Arial" w:cs="Arial"/>
                <w:color w:val="000000"/>
                <w:sz w:val="20"/>
                <w:lang w:val="en-AU"/>
              </w:rPr>
            </w:pPr>
          </w:p>
          <w:p w14:paraId="706571E5" w14:textId="77777777" w:rsidR="009F1AD9" w:rsidRDefault="009F1AD9" w:rsidP="009F1AD9">
            <w:pPr>
              <w:spacing w:after="120"/>
              <w:rPr>
                <w:rFonts w:ascii="Arial" w:hAnsi="Arial" w:cs="Arial"/>
                <w:sz w:val="20"/>
                <w:szCs w:val="20"/>
              </w:rPr>
            </w:pPr>
            <w:r>
              <w:rPr>
                <w:rFonts w:ascii="Arial" w:hAnsi="Arial" w:cs="Arial"/>
                <w:sz w:val="20"/>
                <w:szCs w:val="20"/>
              </w:rPr>
              <w:t>M</w:t>
            </w:r>
            <w:r w:rsidRPr="008229F7">
              <w:rPr>
                <w:rFonts w:ascii="Arial" w:hAnsi="Arial" w:cs="Arial"/>
                <w:sz w:val="20"/>
                <w:szCs w:val="20"/>
              </w:rPr>
              <w:t>andatory folate fortification</w:t>
            </w:r>
            <w:r>
              <w:rPr>
                <w:rFonts w:ascii="Arial" w:hAnsi="Arial" w:cs="Arial"/>
                <w:sz w:val="20"/>
                <w:szCs w:val="20"/>
              </w:rPr>
              <w:t xml:space="preserve"> has lowered</w:t>
            </w:r>
            <w:r w:rsidRPr="008229F7">
              <w:rPr>
                <w:rFonts w:ascii="Arial" w:hAnsi="Arial" w:cs="Arial"/>
                <w:sz w:val="20"/>
                <w:szCs w:val="20"/>
              </w:rPr>
              <w:t xml:space="preserve"> rates of NTDs and improved equity for vulnerable populations</w:t>
            </w:r>
            <w:r>
              <w:rPr>
                <w:rFonts w:ascii="Arial" w:hAnsi="Arial" w:cs="Arial"/>
                <w:sz w:val="20"/>
                <w:szCs w:val="20"/>
              </w:rPr>
              <w:t xml:space="preserve"> in other countries. Since 2009</w:t>
            </w:r>
            <w:r w:rsidRPr="008229F7">
              <w:rPr>
                <w:rFonts w:ascii="Arial" w:hAnsi="Arial" w:cs="Arial"/>
                <w:sz w:val="20"/>
                <w:szCs w:val="20"/>
              </w:rPr>
              <w:t xml:space="preserve"> Australia </w:t>
            </w:r>
            <w:r>
              <w:rPr>
                <w:rFonts w:ascii="Arial" w:hAnsi="Arial" w:cs="Arial"/>
                <w:sz w:val="20"/>
                <w:szCs w:val="20"/>
              </w:rPr>
              <w:t xml:space="preserve">changed </w:t>
            </w:r>
            <w:r w:rsidRPr="008229F7">
              <w:rPr>
                <w:rFonts w:ascii="Arial" w:hAnsi="Arial" w:cs="Arial"/>
                <w:sz w:val="20"/>
                <w:szCs w:val="20"/>
              </w:rPr>
              <w:t xml:space="preserve">from voluntary to mandatory fortification of folate into wheat flour for bread making </w:t>
            </w:r>
            <w:r>
              <w:rPr>
                <w:rFonts w:ascii="Arial" w:hAnsi="Arial" w:cs="Arial"/>
                <w:sz w:val="20"/>
                <w:szCs w:val="20"/>
              </w:rPr>
              <w:t xml:space="preserve">and </w:t>
            </w:r>
            <w:r w:rsidRPr="008229F7">
              <w:rPr>
                <w:rFonts w:ascii="Arial" w:hAnsi="Arial" w:cs="Arial"/>
                <w:sz w:val="20"/>
                <w:szCs w:val="20"/>
              </w:rPr>
              <w:t>successfully reduced rates of NTDs and disparities significantly for disadvantaged Aboriginal women</w:t>
            </w:r>
            <w:r>
              <w:rPr>
                <w:rStyle w:val="FootnoteReference"/>
                <w:rFonts w:ascii="Arial" w:hAnsi="Arial" w:cs="Arial"/>
                <w:sz w:val="20"/>
                <w:szCs w:val="20"/>
              </w:rPr>
              <w:footnoteReference w:id="5"/>
            </w:r>
            <w:r w:rsidRPr="008229F7">
              <w:rPr>
                <w:rStyle w:val="FootnoteReference"/>
                <w:rFonts w:ascii="Arial" w:hAnsi="Arial" w:cs="Arial"/>
                <w:sz w:val="20"/>
                <w:szCs w:val="20"/>
              </w:rPr>
              <w:footnoteReference w:id="6"/>
            </w:r>
            <w:r w:rsidRPr="008229F7">
              <w:rPr>
                <w:rStyle w:val="FootnoteReference"/>
                <w:rFonts w:ascii="Arial" w:hAnsi="Arial" w:cs="Arial"/>
                <w:sz w:val="20"/>
                <w:szCs w:val="20"/>
              </w:rPr>
              <w:footnoteReference w:id="7"/>
            </w:r>
            <w:r>
              <w:rPr>
                <w:rFonts w:ascii="Arial" w:hAnsi="Arial" w:cs="Arial"/>
                <w:sz w:val="20"/>
                <w:szCs w:val="20"/>
              </w:rPr>
              <w:t xml:space="preserve">. </w:t>
            </w:r>
            <w:r w:rsidRPr="008229F7">
              <w:rPr>
                <w:rFonts w:ascii="Arial" w:hAnsi="Arial" w:cs="Arial"/>
                <w:sz w:val="20"/>
                <w:szCs w:val="20"/>
              </w:rPr>
              <w:t>The cost benefits of doing so have also be</w:t>
            </w:r>
            <w:r>
              <w:rPr>
                <w:rFonts w:ascii="Arial" w:hAnsi="Arial" w:cs="Arial"/>
                <w:sz w:val="20"/>
                <w:szCs w:val="20"/>
              </w:rPr>
              <w:t>en found to be highly effective</w:t>
            </w:r>
            <w:r w:rsidRPr="008229F7">
              <w:rPr>
                <w:rStyle w:val="FootnoteReference"/>
                <w:rFonts w:ascii="Arial" w:hAnsi="Arial" w:cs="Arial"/>
                <w:sz w:val="20"/>
                <w:szCs w:val="20"/>
              </w:rPr>
              <w:footnoteReference w:id="8"/>
            </w:r>
            <w:r>
              <w:rPr>
                <w:rFonts w:ascii="Arial" w:hAnsi="Arial" w:cs="Arial"/>
                <w:sz w:val="20"/>
                <w:szCs w:val="20"/>
              </w:rPr>
              <w:t>.</w:t>
            </w:r>
          </w:p>
          <w:p w14:paraId="7ECF45E3" w14:textId="77777777" w:rsidR="009F1AD9" w:rsidRDefault="009F1AD9" w:rsidP="009F1AD9">
            <w:pPr>
              <w:spacing w:after="120"/>
              <w:rPr>
                <w:rFonts w:ascii="Arial" w:hAnsi="Arial" w:cs="Arial"/>
                <w:sz w:val="20"/>
                <w:szCs w:val="20"/>
                <w:lang w:val="en-AU"/>
              </w:rPr>
            </w:pPr>
            <w:r w:rsidRPr="00316E7C">
              <w:rPr>
                <w:rFonts w:ascii="Arial" w:hAnsi="Arial" w:cs="Arial"/>
                <w:sz w:val="20"/>
                <w:szCs w:val="20"/>
                <w:lang w:val="en-AU"/>
              </w:rPr>
              <w:t>Mandatory fortification will positively impact the folic acid intake of more New Zealanders than current levels of voluntary fortification</w:t>
            </w:r>
            <w:r w:rsidRPr="00316E7C">
              <w:rPr>
                <w:rStyle w:val="FootnoteReference"/>
                <w:rFonts w:ascii="Arial" w:hAnsi="Arial" w:cs="Arial"/>
                <w:sz w:val="20"/>
                <w:szCs w:val="20"/>
                <w:lang w:val="en-AU"/>
              </w:rPr>
              <w:footnoteReference w:id="9"/>
            </w:r>
            <w:r>
              <w:rPr>
                <w:rFonts w:ascii="Arial" w:hAnsi="Arial" w:cs="Arial"/>
                <w:sz w:val="20"/>
                <w:szCs w:val="20"/>
                <w:lang w:val="en-AU"/>
              </w:rPr>
              <w:t xml:space="preserve">. </w:t>
            </w:r>
            <w:r w:rsidRPr="00316E7C">
              <w:rPr>
                <w:rFonts w:ascii="Arial" w:hAnsi="Arial" w:cs="Arial"/>
                <w:sz w:val="20"/>
                <w:szCs w:val="20"/>
                <w:lang w:val="en-AU"/>
              </w:rPr>
              <w:t xml:space="preserve"> Folic acid fortification of commonly consumed foods can be a reliable and effective way to attain health benefits by increasing the nutrient intake of a population without relying on individual supplementation practices</w:t>
            </w:r>
            <w:r w:rsidRPr="00316E7C">
              <w:rPr>
                <w:rStyle w:val="FootnoteReference"/>
                <w:rFonts w:ascii="Arial" w:hAnsi="Arial" w:cs="Arial"/>
                <w:sz w:val="20"/>
                <w:szCs w:val="20"/>
                <w:lang w:val="en-AU"/>
              </w:rPr>
              <w:footnoteReference w:id="10"/>
            </w:r>
            <w:r w:rsidRPr="00316E7C">
              <w:rPr>
                <w:rFonts w:ascii="Arial" w:hAnsi="Arial" w:cs="Arial"/>
                <w:sz w:val="20"/>
                <w:szCs w:val="20"/>
                <w:lang w:val="en-AU"/>
              </w:rPr>
              <w:t>.</w:t>
            </w:r>
          </w:p>
          <w:p w14:paraId="402A4214" w14:textId="008AA301" w:rsidR="0081318E" w:rsidRPr="00312439" w:rsidRDefault="009F1AD9" w:rsidP="00FA22E8">
            <w:pPr>
              <w:spacing w:after="120"/>
              <w:rPr>
                <w:rFonts w:ascii="Arial" w:hAnsi="Arial" w:cs="Arial"/>
                <w:sz w:val="20"/>
                <w:szCs w:val="20"/>
              </w:rPr>
            </w:pPr>
            <w:r w:rsidRPr="008229F7">
              <w:rPr>
                <w:rFonts w:ascii="Arial" w:hAnsi="Arial" w:cs="Arial"/>
                <w:sz w:val="20"/>
                <w:szCs w:val="20"/>
              </w:rPr>
              <w:t>The Cancer Society supports strengthen</w:t>
            </w:r>
            <w:r>
              <w:rPr>
                <w:rFonts w:ascii="Arial" w:hAnsi="Arial" w:cs="Arial"/>
                <w:sz w:val="20"/>
                <w:szCs w:val="20"/>
              </w:rPr>
              <w:t>ing</w:t>
            </w:r>
            <w:r w:rsidRPr="008229F7">
              <w:rPr>
                <w:rFonts w:ascii="Arial" w:hAnsi="Arial" w:cs="Arial"/>
                <w:sz w:val="20"/>
                <w:szCs w:val="20"/>
              </w:rPr>
              <w:t xml:space="preserve"> folate fortification in our food supply as an effective way to reduce NTDs</w:t>
            </w:r>
            <w:r>
              <w:rPr>
                <w:rFonts w:ascii="Arial" w:hAnsi="Arial" w:cs="Arial"/>
                <w:sz w:val="20"/>
                <w:szCs w:val="20"/>
              </w:rPr>
              <w:t xml:space="preserve"> but recommends</w:t>
            </w:r>
            <w:r w:rsidRPr="00AF238C">
              <w:rPr>
                <w:rFonts w:ascii="Arial" w:hAnsi="Arial" w:cs="Arial"/>
                <w:sz w:val="20"/>
                <w:szCs w:val="20"/>
              </w:rPr>
              <w:t xml:space="preserve"> continued research and monitoring</w:t>
            </w:r>
            <w:r>
              <w:rPr>
                <w:rFonts w:ascii="Arial" w:hAnsi="Arial" w:cs="Arial"/>
                <w:sz w:val="20"/>
                <w:szCs w:val="20"/>
              </w:rPr>
              <w:t xml:space="preserve"> of cancer risks</w:t>
            </w:r>
            <w:r w:rsidRPr="008229F7">
              <w:rPr>
                <w:rFonts w:ascii="Arial" w:hAnsi="Arial" w:cs="Arial"/>
                <w:sz w:val="20"/>
                <w:szCs w:val="20"/>
              </w:rPr>
              <w:t xml:space="preserve">.  </w:t>
            </w:r>
          </w:p>
        </w:tc>
      </w:tr>
    </w:tbl>
    <w:p w14:paraId="4B907D5C" w14:textId="2E78F03D" w:rsidR="0081318E" w:rsidRPr="000B1038" w:rsidRDefault="000B1038" w:rsidP="0081318E">
      <w:pPr>
        <w:rPr>
          <w:rFonts w:ascii="Arial" w:hAnsi="Arial" w:cs="Arial"/>
          <w:sz w:val="20"/>
          <w:szCs w:val="20"/>
        </w:rPr>
      </w:pPr>
      <w:r>
        <w:rPr>
          <w:rFonts w:ascii="Arial" w:hAnsi="Arial" w:cs="Arial"/>
          <w:sz w:val="20"/>
          <w:szCs w:val="20"/>
        </w:rPr>
        <w:br w:type="page"/>
      </w:r>
    </w:p>
    <w:p w14:paraId="34460E1A" w14:textId="5CFA2CE6" w:rsidR="00D67BE7" w:rsidRDefault="0081318E" w:rsidP="00C7480C">
      <w:pPr>
        <w:pStyle w:val="Heading3"/>
        <w:spacing w:before="120"/>
        <w:rPr>
          <w:rFonts w:eastAsia="Arial"/>
          <w:color w:val="000000" w:themeColor="text1"/>
          <w:sz w:val="24"/>
        </w:rPr>
      </w:pPr>
      <w:r w:rsidRPr="00C7480C">
        <w:rPr>
          <w:rFonts w:eastAsia="Arial"/>
          <w:color w:val="000000" w:themeColor="text1"/>
          <w:sz w:val="24"/>
        </w:rPr>
        <w:lastRenderedPageBreak/>
        <w:t>Option 1: Maintaining the status quo</w:t>
      </w:r>
    </w:p>
    <w:p w14:paraId="049964B3" w14:textId="77777777" w:rsidR="00C7480C" w:rsidRPr="00C7480C" w:rsidRDefault="00C7480C" w:rsidP="00C7480C">
      <w:pPr>
        <w:spacing w:line="120" w:lineRule="auto"/>
      </w:pPr>
    </w:p>
    <w:p w14:paraId="2AA38A21" w14:textId="77777777" w:rsidR="00543F8B" w:rsidRPr="00543F8B" w:rsidRDefault="00543F8B" w:rsidP="00543F8B">
      <w:pPr>
        <w:rPr>
          <w:rFonts w:ascii="Arial" w:hAnsi="Arial" w:cs="Arial"/>
          <w:sz w:val="20"/>
        </w:rPr>
      </w:pPr>
      <w:r w:rsidRPr="00543F8B">
        <w:rPr>
          <w:rFonts w:ascii="Arial" w:hAnsi="Arial" w:cs="Arial"/>
          <w:sz w:val="20"/>
        </w:rPr>
        <w:t xml:space="preserve">Option 1 would involve continued voluntary support by large bread bakers through their Code of Practice. Their goal is to fortify up to 50% of their packaged sliced bread, by volume. </w:t>
      </w:r>
    </w:p>
    <w:p w14:paraId="1F35D58E" w14:textId="5EF6E489" w:rsidR="00D67BE7" w:rsidRDefault="00543F8B" w:rsidP="00543F8B">
      <w:pPr>
        <w:rPr>
          <w:rFonts w:ascii="Arial" w:hAnsi="Arial" w:cs="Arial"/>
          <w:sz w:val="20"/>
        </w:rPr>
      </w:pPr>
      <w:r w:rsidRPr="00543F8B">
        <w:rPr>
          <w:rFonts w:ascii="Arial" w:hAnsi="Arial" w:cs="Arial"/>
          <w:sz w:val="20"/>
        </w:rPr>
        <w:t xml:space="preserve">MPI has assessed option 1 against the criteria for health impacts, cost effectiveness, equity, consumer choice, and other impacts on pages 19 – 21 in the discussion paper. </w:t>
      </w:r>
      <w:r w:rsidR="00D67BE7">
        <w:rPr>
          <w:rFonts w:ascii="Arial" w:hAnsi="Arial" w:cs="Arial"/>
          <w:sz w:val="20"/>
        </w:rPr>
        <w:t xml:space="preserve"> </w:t>
      </w:r>
    </w:p>
    <w:p w14:paraId="045717A0" w14:textId="445D5FAB" w:rsidR="0081318E" w:rsidRPr="00C7480C" w:rsidRDefault="0081318E" w:rsidP="00D67BE7">
      <w:pPr>
        <w:pStyle w:val="ListParagraph"/>
        <w:numPr>
          <w:ilvl w:val="0"/>
          <w:numId w:val="43"/>
        </w:numPr>
        <w:rPr>
          <w:rFonts w:ascii="Arial" w:hAnsi="Arial" w:cs="Arial"/>
          <w:b/>
          <w:sz w:val="20"/>
        </w:rPr>
      </w:pPr>
      <w:r w:rsidRPr="00C7480C">
        <w:rPr>
          <w:rFonts w:ascii="Arial" w:hAnsi="Arial" w:cs="Arial"/>
          <w:b/>
          <w:sz w:val="20"/>
        </w:rPr>
        <w:t>DO YOU AGREE WITH THE ASSESSMENT OF THE STATUS QUO AGAINST THE CRITERIA?</w:t>
      </w:r>
    </w:p>
    <w:p w14:paraId="15006DB9" w14:textId="70DF6EA3"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23487731"/>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81318E" w:rsidRPr="0016675F">
        <w:rPr>
          <w:rFonts w:ascii="Arial" w:hAnsi="Arial" w:cs="Arial"/>
          <w:sz w:val="20"/>
          <w:szCs w:val="20"/>
        </w:rPr>
        <w:t xml:space="preserve"> </w:t>
      </w:r>
      <w:r w:rsidR="00D67BE7">
        <w:rPr>
          <w:rFonts w:ascii="Arial" w:hAnsi="Arial" w:cs="Arial"/>
          <w:sz w:val="20"/>
          <w:szCs w:val="20"/>
        </w:rPr>
        <w:t>Agree</w:t>
      </w:r>
      <w:r w:rsidR="0081318E" w:rsidRPr="0016675F">
        <w:rPr>
          <w:rFonts w:ascii="Arial" w:hAnsi="Arial" w:cs="Arial"/>
          <w:sz w:val="20"/>
          <w:szCs w:val="20"/>
        </w:rPr>
        <w:t>.</w:t>
      </w:r>
    </w:p>
    <w:p w14:paraId="4C7E1C29" w14:textId="57ADD018"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1618205127"/>
          <w14:checkbox>
            <w14:checked w14:val="0"/>
            <w14:checkedState w14:val="2612" w14:font="MS Gothic"/>
            <w14:uncheckedState w14:val="2610" w14:font="MS Gothic"/>
          </w14:checkbox>
        </w:sdtPr>
        <w:sdtEndPr/>
        <w:sdtContent>
          <w:r w:rsidR="0081318E" w:rsidRPr="0016675F">
            <w:rPr>
              <w:rFonts w:ascii="Segoe UI Symbol" w:eastAsia="MS Gothic" w:hAnsi="Segoe UI Symbol" w:cs="Segoe UI Symbol"/>
              <w:sz w:val="20"/>
              <w:szCs w:val="20"/>
            </w:rPr>
            <w:t>☐</w:t>
          </w:r>
        </w:sdtContent>
      </w:sdt>
      <w:r w:rsidR="0081318E" w:rsidRPr="0016675F">
        <w:rPr>
          <w:rFonts w:ascii="Arial" w:hAnsi="Arial" w:cs="Arial"/>
          <w:sz w:val="20"/>
          <w:szCs w:val="20"/>
        </w:rPr>
        <w:t xml:space="preserve"> </w:t>
      </w:r>
      <w:r w:rsidR="00D67BE7">
        <w:rPr>
          <w:rFonts w:ascii="Arial" w:hAnsi="Arial" w:cs="Arial"/>
          <w:sz w:val="20"/>
          <w:szCs w:val="20"/>
        </w:rPr>
        <w:t>Disagree</w:t>
      </w:r>
      <w:r w:rsidR="0081318E" w:rsidRPr="0016675F">
        <w:rPr>
          <w:rFonts w:ascii="Arial" w:hAnsi="Arial" w:cs="Arial"/>
          <w:sz w:val="20"/>
          <w:szCs w:val="20"/>
        </w:rPr>
        <w:t>.</w:t>
      </w:r>
    </w:p>
    <w:p w14:paraId="1D0B3573" w14:textId="77777777" w:rsidR="0081318E" w:rsidRPr="0016675F" w:rsidRDefault="00647DFA" w:rsidP="0081318E">
      <w:pPr>
        <w:tabs>
          <w:tab w:val="left" w:pos="0"/>
          <w:tab w:val="left" w:pos="284"/>
        </w:tabs>
        <w:spacing w:after="0"/>
        <w:ind w:left="568" w:hanging="284"/>
        <w:rPr>
          <w:rFonts w:ascii="Arial" w:hAnsi="Arial" w:cs="Arial"/>
          <w:sz w:val="20"/>
          <w:szCs w:val="20"/>
        </w:rPr>
      </w:pPr>
      <w:sdt>
        <w:sdtPr>
          <w:rPr>
            <w:rFonts w:ascii="Arial" w:hAnsi="Arial" w:cs="Arial"/>
            <w:sz w:val="20"/>
            <w:szCs w:val="20"/>
          </w:rPr>
          <w:id w:val="-1694374212"/>
          <w14:checkbox>
            <w14:checked w14:val="0"/>
            <w14:checkedState w14:val="2612" w14:font="MS Gothic"/>
            <w14:uncheckedState w14:val="2610" w14:font="MS Gothic"/>
          </w14:checkbox>
        </w:sdtPr>
        <w:sdtEndPr/>
        <w:sdtContent>
          <w:r w:rsidR="0081318E" w:rsidRPr="0016675F">
            <w:rPr>
              <w:rFonts w:ascii="Segoe UI Symbol" w:eastAsia="MS Gothic" w:hAnsi="Segoe UI Symbol" w:cs="Segoe UI Symbol"/>
              <w:sz w:val="20"/>
              <w:szCs w:val="20"/>
            </w:rPr>
            <w:t>☐</w:t>
          </w:r>
        </w:sdtContent>
      </w:sdt>
      <w:r w:rsidR="0081318E" w:rsidRPr="0016675F">
        <w:rPr>
          <w:rFonts w:ascii="Arial" w:hAnsi="Arial" w:cs="Arial"/>
          <w:sz w:val="20"/>
          <w:szCs w:val="20"/>
        </w:rPr>
        <w:t xml:space="preserve"> </w:t>
      </w:r>
      <w:r w:rsidR="0081318E">
        <w:rPr>
          <w:rFonts w:ascii="Arial" w:hAnsi="Arial" w:cs="Arial"/>
          <w:sz w:val="20"/>
          <w:szCs w:val="20"/>
        </w:rPr>
        <w:t>Unsure</w:t>
      </w:r>
      <w:r w:rsidR="0081318E" w:rsidRPr="0016675F">
        <w:rPr>
          <w:rFonts w:ascii="Arial" w:hAnsi="Arial" w:cs="Arial"/>
          <w:sz w:val="20"/>
          <w:szCs w:val="20"/>
        </w:rPr>
        <w:t>.</w:t>
      </w:r>
    </w:p>
    <w:p w14:paraId="520E4D79" w14:textId="77777777" w:rsidR="0081318E" w:rsidRDefault="0081318E" w:rsidP="0081318E">
      <w:pPr>
        <w:tabs>
          <w:tab w:val="left" w:pos="284"/>
        </w:tabs>
        <w:spacing w:after="0"/>
        <w:ind w:firstLine="284"/>
        <w:rPr>
          <w:rFonts w:ascii="Arial" w:hAnsi="Arial" w:cs="Arial"/>
          <w:sz w:val="20"/>
          <w:szCs w:val="20"/>
        </w:rPr>
      </w:pPr>
    </w:p>
    <w:p w14:paraId="09BF0CDA" w14:textId="74464EAA" w:rsidR="0081318E" w:rsidRDefault="0081318E" w:rsidP="0081318E">
      <w:pPr>
        <w:tabs>
          <w:tab w:val="left" w:pos="284"/>
        </w:tabs>
        <w:spacing w:after="0"/>
        <w:ind w:firstLine="284"/>
        <w:rPr>
          <w:rFonts w:ascii="Arial" w:hAnsi="Arial" w:cs="Arial"/>
          <w:sz w:val="20"/>
          <w:szCs w:val="20"/>
        </w:rPr>
      </w:pPr>
      <w:r>
        <w:rPr>
          <w:rFonts w:ascii="Arial" w:hAnsi="Arial" w:cs="Arial"/>
          <w:sz w:val="20"/>
          <w:szCs w:val="20"/>
        </w:rPr>
        <w:t>Please explain why</w:t>
      </w:r>
      <w:r w:rsidR="00543F8B">
        <w:rPr>
          <w:rFonts w:ascii="Arial" w:hAnsi="Arial" w:cs="Arial"/>
          <w:sz w:val="20"/>
          <w:szCs w:val="20"/>
        </w:rPr>
        <w:t xml:space="preserve"> and provide any evidence you may have</w:t>
      </w:r>
      <w:r>
        <w:rPr>
          <w:rFonts w:ascii="Arial" w:hAnsi="Arial" w:cs="Arial"/>
          <w:sz w:val="20"/>
          <w:szCs w:val="20"/>
        </w:rPr>
        <w:t>:</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81318E" w:rsidRPr="00312439" w14:paraId="4174EB05" w14:textId="77777777" w:rsidTr="00FA22E8">
        <w:trPr>
          <w:cantSplit/>
        </w:trPr>
        <w:tc>
          <w:tcPr>
            <w:tcW w:w="9176" w:type="dxa"/>
            <w:tcBorders>
              <w:bottom w:val="single" w:sz="24" w:space="0" w:color="FFFFFF"/>
            </w:tcBorders>
            <w:shd w:val="clear" w:color="auto" w:fill="E6E6E6"/>
          </w:tcPr>
          <w:p w14:paraId="1784170C" w14:textId="658507E2" w:rsidR="0081318E" w:rsidRPr="00312439" w:rsidRDefault="009F1AD9" w:rsidP="00FA22E8">
            <w:pPr>
              <w:spacing w:after="120"/>
              <w:rPr>
                <w:rFonts w:ascii="Arial" w:hAnsi="Arial" w:cs="Arial"/>
                <w:sz w:val="20"/>
                <w:szCs w:val="20"/>
              </w:rPr>
            </w:pPr>
            <w:r>
              <w:rPr>
                <w:rFonts w:ascii="Arial" w:hAnsi="Arial" w:cs="Arial"/>
                <w:sz w:val="20"/>
                <w:szCs w:val="20"/>
              </w:rPr>
              <w:t>We agree with MPIs assessment but support mandatory folic acid fortification due to the limited impact of the status quo on folic acid intake in women under 50 years.</w:t>
            </w:r>
          </w:p>
        </w:tc>
      </w:tr>
    </w:tbl>
    <w:p w14:paraId="1C3D91C4" w14:textId="77777777" w:rsidR="0081318E" w:rsidRDefault="0081318E" w:rsidP="0081318E"/>
    <w:p w14:paraId="6ADF24C7" w14:textId="761D54EB" w:rsidR="0081318E" w:rsidRPr="00C7480C" w:rsidRDefault="00D67BE7" w:rsidP="00D67BE7">
      <w:pPr>
        <w:spacing w:after="240"/>
        <w:rPr>
          <w:sz w:val="24"/>
        </w:rPr>
      </w:pPr>
      <w:r w:rsidRPr="00C7480C">
        <w:rPr>
          <w:rFonts w:asciiTheme="majorHAnsi" w:eastAsia="Arial" w:hAnsiTheme="majorHAnsi" w:cstheme="majorBidi"/>
          <w:b/>
          <w:bCs/>
          <w:color w:val="000000" w:themeColor="text1"/>
          <w:sz w:val="24"/>
        </w:rPr>
        <w:t>Option 2: Asking industry to enhance voluntary fortification</w:t>
      </w:r>
    </w:p>
    <w:p w14:paraId="7ACBE843" w14:textId="7A07E56D" w:rsidR="0081318E" w:rsidRDefault="00D67BE7" w:rsidP="0081318E">
      <w:pPr>
        <w:rPr>
          <w:rFonts w:ascii="Arial" w:hAnsi="Arial" w:cs="Arial"/>
          <w:sz w:val="20"/>
        </w:rPr>
      </w:pPr>
      <w:r w:rsidRPr="00D67BE7">
        <w:rPr>
          <w:rFonts w:ascii="Arial" w:hAnsi="Arial" w:cs="Arial"/>
          <w:sz w:val="20"/>
        </w:rPr>
        <w:t>Option 2</w:t>
      </w:r>
      <w:r>
        <w:rPr>
          <w:rFonts w:ascii="Arial" w:hAnsi="Arial" w:cs="Arial"/>
          <w:sz w:val="20"/>
        </w:rPr>
        <w:t xml:space="preserve"> </w:t>
      </w:r>
      <w:r w:rsidRPr="00D67BE7">
        <w:rPr>
          <w:rFonts w:ascii="Arial" w:hAnsi="Arial" w:cs="Arial"/>
          <w:sz w:val="20"/>
        </w:rPr>
        <w:t>would involve asking industry (currently the large plant bakers) to voluntarily increase the volume of packaged sliced bread being fortified under the Code of Practice from the 2017 level of 38% to a new goal of 80%.</w:t>
      </w:r>
    </w:p>
    <w:p w14:paraId="1BF97186" w14:textId="67D23307" w:rsidR="00D67BE7" w:rsidRPr="00D67BE7" w:rsidRDefault="00D67BE7" w:rsidP="0081318E">
      <w:pPr>
        <w:rPr>
          <w:rFonts w:ascii="Arial" w:hAnsi="Arial" w:cs="Arial"/>
          <w:sz w:val="20"/>
        </w:rPr>
      </w:pPr>
      <w:r>
        <w:rPr>
          <w:rFonts w:ascii="Arial" w:hAnsi="Arial" w:cs="Arial"/>
          <w:sz w:val="20"/>
        </w:rPr>
        <w:t xml:space="preserve">MPI has assessed option 2 against the criteria for health impacts, cost effectiveness, equity, consumer choice, and other impacts on pages </w:t>
      </w:r>
      <w:r w:rsidR="00CB4D72">
        <w:rPr>
          <w:rFonts w:ascii="Arial" w:hAnsi="Arial" w:cs="Arial"/>
          <w:sz w:val="20"/>
        </w:rPr>
        <w:t>22</w:t>
      </w:r>
      <w:r>
        <w:rPr>
          <w:rFonts w:ascii="Arial" w:hAnsi="Arial" w:cs="Arial"/>
          <w:sz w:val="20"/>
        </w:rPr>
        <w:t xml:space="preserve"> –</w:t>
      </w:r>
      <w:r w:rsidR="00C222BA">
        <w:rPr>
          <w:rFonts w:ascii="Arial" w:hAnsi="Arial" w:cs="Arial"/>
          <w:sz w:val="20"/>
        </w:rPr>
        <w:t xml:space="preserve"> 24 in the discussion paper</w:t>
      </w:r>
      <w:r>
        <w:rPr>
          <w:rFonts w:ascii="Arial" w:hAnsi="Arial" w:cs="Arial"/>
          <w:sz w:val="20"/>
        </w:rPr>
        <w:t xml:space="preserve">. </w:t>
      </w:r>
    </w:p>
    <w:p w14:paraId="3F872CC3" w14:textId="783E36B3" w:rsidR="00B4442B" w:rsidRPr="00C7480C" w:rsidRDefault="00D67BE7" w:rsidP="00D67BE7">
      <w:pPr>
        <w:pStyle w:val="ListParagraph"/>
        <w:numPr>
          <w:ilvl w:val="0"/>
          <w:numId w:val="43"/>
        </w:numPr>
        <w:rPr>
          <w:rFonts w:ascii="Arial" w:hAnsi="Arial" w:cs="Arial"/>
          <w:b/>
          <w:sz w:val="20"/>
          <w:szCs w:val="20"/>
        </w:rPr>
      </w:pPr>
      <w:r w:rsidRPr="00C7480C">
        <w:rPr>
          <w:rFonts w:ascii="Arial" w:hAnsi="Arial" w:cs="Arial"/>
          <w:b/>
          <w:sz w:val="20"/>
          <w:szCs w:val="20"/>
        </w:rPr>
        <w:t>DO YOU AGREE WITH THE ASSESSMENT OF THE ENHANCED VOLUNTARY FORTIFICATION OPTION AGAINST THE CRITERIA AND LIKELY IMPACTS?</w:t>
      </w:r>
    </w:p>
    <w:p w14:paraId="3044A153" w14:textId="3A9F1988" w:rsidR="00D67BE7" w:rsidRPr="0016675F" w:rsidRDefault="00647DFA" w:rsidP="00D67BE7">
      <w:pPr>
        <w:tabs>
          <w:tab w:val="left" w:pos="0"/>
          <w:tab w:val="left" w:pos="284"/>
        </w:tabs>
        <w:spacing w:after="0"/>
        <w:ind w:left="568" w:hanging="284"/>
        <w:rPr>
          <w:rFonts w:ascii="Arial" w:hAnsi="Arial" w:cs="Arial"/>
          <w:sz w:val="20"/>
          <w:szCs w:val="20"/>
        </w:rPr>
      </w:pPr>
      <w:sdt>
        <w:sdtPr>
          <w:rPr>
            <w:rFonts w:ascii="Arial" w:hAnsi="Arial" w:cs="Arial"/>
            <w:sz w:val="20"/>
            <w:szCs w:val="20"/>
          </w:rPr>
          <w:id w:val="676473057"/>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D67BE7" w:rsidRPr="0016675F">
        <w:rPr>
          <w:rFonts w:ascii="Arial" w:hAnsi="Arial" w:cs="Arial"/>
          <w:sz w:val="20"/>
          <w:szCs w:val="20"/>
        </w:rPr>
        <w:t xml:space="preserve"> </w:t>
      </w:r>
      <w:r w:rsidR="00D67BE7">
        <w:rPr>
          <w:rFonts w:ascii="Arial" w:hAnsi="Arial" w:cs="Arial"/>
          <w:sz w:val="20"/>
          <w:szCs w:val="20"/>
        </w:rPr>
        <w:t>Agree</w:t>
      </w:r>
      <w:r w:rsidR="00D67BE7" w:rsidRPr="0016675F">
        <w:rPr>
          <w:rFonts w:ascii="Arial" w:hAnsi="Arial" w:cs="Arial"/>
          <w:sz w:val="20"/>
          <w:szCs w:val="20"/>
        </w:rPr>
        <w:t>.</w:t>
      </w:r>
    </w:p>
    <w:p w14:paraId="53EDC2DF" w14:textId="77777777" w:rsidR="00D67BE7" w:rsidRPr="0016675F" w:rsidRDefault="00647DFA" w:rsidP="00D67BE7">
      <w:pPr>
        <w:tabs>
          <w:tab w:val="left" w:pos="0"/>
          <w:tab w:val="left" w:pos="284"/>
        </w:tabs>
        <w:spacing w:after="0"/>
        <w:ind w:left="568" w:hanging="284"/>
        <w:rPr>
          <w:rFonts w:ascii="Arial" w:hAnsi="Arial" w:cs="Arial"/>
          <w:sz w:val="20"/>
          <w:szCs w:val="20"/>
        </w:rPr>
      </w:pPr>
      <w:sdt>
        <w:sdtPr>
          <w:rPr>
            <w:rFonts w:ascii="Arial" w:hAnsi="Arial" w:cs="Arial"/>
            <w:sz w:val="20"/>
            <w:szCs w:val="20"/>
          </w:rPr>
          <w:id w:val="-1800444460"/>
          <w14:checkbox>
            <w14:checked w14:val="0"/>
            <w14:checkedState w14:val="2612" w14:font="MS Gothic"/>
            <w14:uncheckedState w14:val="2610" w14:font="MS Gothic"/>
          </w14:checkbox>
        </w:sdtPr>
        <w:sdtEndPr/>
        <w:sdtContent>
          <w:r w:rsidR="00D67BE7" w:rsidRPr="0016675F">
            <w:rPr>
              <w:rFonts w:ascii="Segoe UI Symbol" w:eastAsia="MS Gothic" w:hAnsi="Segoe UI Symbol" w:cs="Segoe UI Symbol"/>
              <w:sz w:val="20"/>
              <w:szCs w:val="20"/>
            </w:rPr>
            <w:t>☐</w:t>
          </w:r>
        </w:sdtContent>
      </w:sdt>
      <w:r w:rsidR="00D67BE7" w:rsidRPr="0016675F">
        <w:rPr>
          <w:rFonts w:ascii="Arial" w:hAnsi="Arial" w:cs="Arial"/>
          <w:sz w:val="20"/>
          <w:szCs w:val="20"/>
        </w:rPr>
        <w:t xml:space="preserve"> </w:t>
      </w:r>
      <w:r w:rsidR="00D67BE7">
        <w:rPr>
          <w:rFonts w:ascii="Arial" w:hAnsi="Arial" w:cs="Arial"/>
          <w:sz w:val="20"/>
          <w:szCs w:val="20"/>
        </w:rPr>
        <w:t>Disagree</w:t>
      </w:r>
      <w:r w:rsidR="00D67BE7" w:rsidRPr="0016675F">
        <w:rPr>
          <w:rFonts w:ascii="Arial" w:hAnsi="Arial" w:cs="Arial"/>
          <w:sz w:val="20"/>
          <w:szCs w:val="20"/>
        </w:rPr>
        <w:t>.</w:t>
      </w:r>
    </w:p>
    <w:p w14:paraId="6359B70E" w14:textId="77777777" w:rsidR="00D67BE7" w:rsidRDefault="00647DFA" w:rsidP="00D67BE7">
      <w:pPr>
        <w:tabs>
          <w:tab w:val="left" w:pos="0"/>
          <w:tab w:val="left" w:pos="284"/>
        </w:tabs>
        <w:spacing w:after="0"/>
        <w:ind w:left="568" w:hanging="284"/>
        <w:rPr>
          <w:rFonts w:ascii="Arial" w:hAnsi="Arial" w:cs="Arial"/>
          <w:sz w:val="20"/>
          <w:szCs w:val="20"/>
        </w:rPr>
      </w:pPr>
      <w:sdt>
        <w:sdtPr>
          <w:rPr>
            <w:rFonts w:ascii="Arial" w:hAnsi="Arial" w:cs="Arial"/>
            <w:sz w:val="20"/>
            <w:szCs w:val="20"/>
          </w:rPr>
          <w:id w:val="-596258600"/>
          <w14:checkbox>
            <w14:checked w14:val="0"/>
            <w14:checkedState w14:val="2612" w14:font="MS Gothic"/>
            <w14:uncheckedState w14:val="2610" w14:font="MS Gothic"/>
          </w14:checkbox>
        </w:sdtPr>
        <w:sdtEndPr/>
        <w:sdtContent>
          <w:r w:rsidR="00D67BE7" w:rsidRPr="0016675F">
            <w:rPr>
              <w:rFonts w:ascii="Segoe UI Symbol" w:eastAsia="MS Gothic" w:hAnsi="Segoe UI Symbol" w:cs="Segoe UI Symbol"/>
              <w:sz w:val="20"/>
              <w:szCs w:val="20"/>
            </w:rPr>
            <w:t>☐</w:t>
          </w:r>
        </w:sdtContent>
      </w:sdt>
      <w:r w:rsidR="00D67BE7" w:rsidRPr="0016675F">
        <w:rPr>
          <w:rFonts w:ascii="Arial" w:hAnsi="Arial" w:cs="Arial"/>
          <w:sz w:val="20"/>
          <w:szCs w:val="20"/>
        </w:rPr>
        <w:t xml:space="preserve"> </w:t>
      </w:r>
      <w:r w:rsidR="00D67BE7">
        <w:rPr>
          <w:rFonts w:ascii="Arial" w:hAnsi="Arial" w:cs="Arial"/>
          <w:sz w:val="20"/>
          <w:szCs w:val="20"/>
        </w:rPr>
        <w:t>Unsure</w:t>
      </w:r>
      <w:r w:rsidR="00D67BE7" w:rsidRPr="0016675F">
        <w:rPr>
          <w:rFonts w:ascii="Arial" w:hAnsi="Arial" w:cs="Arial"/>
          <w:sz w:val="20"/>
          <w:szCs w:val="20"/>
        </w:rPr>
        <w:t>.</w:t>
      </w:r>
    </w:p>
    <w:p w14:paraId="072F57C4" w14:textId="77777777" w:rsidR="00D67BE7" w:rsidRPr="0016675F" w:rsidRDefault="00D67BE7" w:rsidP="00D67BE7">
      <w:pPr>
        <w:tabs>
          <w:tab w:val="left" w:pos="0"/>
          <w:tab w:val="left" w:pos="284"/>
        </w:tabs>
        <w:spacing w:after="0"/>
        <w:rPr>
          <w:rFonts w:ascii="Arial" w:hAnsi="Arial" w:cs="Arial"/>
          <w:sz w:val="20"/>
          <w:szCs w:val="20"/>
        </w:rPr>
      </w:pPr>
    </w:p>
    <w:p w14:paraId="733D5368" w14:textId="42C25070" w:rsidR="00D67BE7" w:rsidRDefault="00D67BE7" w:rsidP="00D67BE7">
      <w:pPr>
        <w:tabs>
          <w:tab w:val="left" w:pos="284"/>
        </w:tabs>
        <w:spacing w:after="0"/>
        <w:rPr>
          <w:rFonts w:ascii="Arial" w:hAnsi="Arial" w:cs="Arial"/>
          <w:sz w:val="20"/>
          <w:szCs w:val="20"/>
        </w:rPr>
      </w:pPr>
      <w:r>
        <w:rPr>
          <w:rFonts w:ascii="Arial" w:hAnsi="Arial" w:cs="Arial"/>
          <w:sz w:val="20"/>
          <w:szCs w:val="20"/>
        </w:rPr>
        <w:t>Please explain why</w:t>
      </w:r>
      <w:r w:rsidR="00543F8B">
        <w:rPr>
          <w:rFonts w:ascii="Arial" w:hAnsi="Arial" w:cs="Arial"/>
          <w:sz w:val="20"/>
          <w:szCs w:val="20"/>
        </w:rPr>
        <w:t xml:space="preserve"> and provide any evidence you may have</w:t>
      </w:r>
      <w:r>
        <w:rPr>
          <w:rFonts w:ascii="Arial" w:hAnsi="Arial" w:cs="Arial"/>
          <w:sz w:val="20"/>
          <w:szCs w:val="20"/>
        </w:rPr>
        <w:t>:</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D67BE7" w:rsidRPr="00312439" w14:paraId="7C90608C" w14:textId="77777777" w:rsidTr="00FA22E8">
        <w:trPr>
          <w:cantSplit/>
        </w:trPr>
        <w:tc>
          <w:tcPr>
            <w:tcW w:w="9176" w:type="dxa"/>
            <w:tcBorders>
              <w:bottom w:val="single" w:sz="24" w:space="0" w:color="FFFFFF"/>
            </w:tcBorders>
            <w:shd w:val="clear" w:color="auto" w:fill="E6E6E6"/>
          </w:tcPr>
          <w:p w14:paraId="2984A3D6" w14:textId="77777777" w:rsidR="009F1AD9" w:rsidRPr="00891685" w:rsidRDefault="009F1AD9" w:rsidP="009F1AD9">
            <w:pPr>
              <w:spacing w:after="160" w:line="259" w:lineRule="auto"/>
              <w:rPr>
                <w:rFonts w:ascii="Arial" w:hAnsi="Arial" w:cs="Arial"/>
                <w:sz w:val="20"/>
                <w:szCs w:val="20"/>
                <w:lang w:val="en-AU"/>
              </w:rPr>
            </w:pPr>
            <w:r w:rsidRPr="00891685">
              <w:rPr>
                <w:rFonts w:ascii="Arial" w:hAnsi="Arial" w:cs="Arial"/>
                <w:sz w:val="20"/>
                <w:szCs w:val="20"/>
                <w:lang w:val="en-AU"/>
              </w:rPr>
              <w:t>We agree with MPIs assessment but support mandatory folic acid f</w:t>
            </w:r>
            <w:r>
              <w:rPr>
                <w:rFonts w:ascii="Arial" w:hAnsi="Arial" w:cs="Arial"/>
                <w:sz w:val="20"/>
                <w:szCs w:val="20"/>
                <w:lang w:val="en-AU"/>
              </w:rPr>
              <w:t xml:space="preserve">ortification due to the limited </w:t>
            </w:r>
            <w:r w:rsidRPr="00891685">
              <w:rPr>
                <w:rFonts w:ascii="Arial" w:hAnsi="Arial" w:cs="Arial"/>
                <w:sz w:val="20"/>
                <w:szCs w:val="20"/>
                <w:lang w:val="en-AU"/>
              </w:rPr>
              <w:t>impact of voluntary fortification on folic acid intake in women under 50 year</w:t>
            </w:r>
            <w:r>
              <w:rPr>
                <w:rFonts w:ascii="Arial" w:hAnsi="Arial" w:cs="Arial"/>
                <w:sz w:val="20"/>
                <w:szCs w:val="20"/>
                <w:lang w:val="en-AU"/>
              </w:rPr>
              <w:t>s.</w:t>
            </w:r>
          </w:p>
          <w:p w14:paraId="0AD3DB4A" w14:textId="461C9375" w:rsidR="00D67BE7" w:rsidRPr="00312439" w:rsidRDefault="009F1AD9" w:rsidP="00FA22E8">
            <w:pPr>
              <w:spacing w:after="120"/>
              <w:rPr>
                <w:rFonts w:ascii="Arial" w:hAnsi="Arial" w:cs="Arial"/>
                <w:sz w:val="20"/>
                <w:szCs w:val="20"/>
              </w:rPr>
            </w:pPr>
            <w:r w:rsidRPr="00891685">
              <w:rPr>
                <w:rFonts w:ascii="Arial" w:hAnsi="Arial" w:cs="Arial"/>
                <w:sz w:val="20"/>
                <w:szCs w:val="20"/>
              </w:rPr>
              <w:t>Industry to date have not reached its voluntary fortification rates of 50%. The Cancer Society is supportive of strengthening folate fortification and making it mandatory to improve folate fortification levels.  More widespread folate fortification is likely to improve uptake and reduce NTDs in vulnerable groups.</w:t>
            </w:r>
          </w:p>
        </w:tc>
      </w:tr>
    </w:tbl>
    <w:p w14:paraId="4989BDB4" w14:textId="77777777" w:rsidR="00CE0C27" w:rsidRDefault="00CE0C27">
      <w:pPr>
        <w:rPr>
          <w:rFonts w:asciiTheme="majorHAnsi" w:eastAsia="Arial" w:hAnsiTheme="majorHAnsi" w:cstheme="majorBidi"/>
          <w:b/>
          <w:bCs/>
          <w:color w:val="000000" w:themeColor="text1"/>
          <w:sz w:val="24"/>
        </w:rPr>
      </w:pPr>
      <w:r>
        <w:rPr>
          <w:rFonts w:asciiTheme="majorHAnsi" w:eastAsia="Arial" w:hAnsiTheme="majorHAnsi" w:cstheme="majorBidi"/>
          <w:b/>
          <w:bCs/>
          <w:color w:val="000000" w:themeColor="text1"/>
          <w:sz w:val="24"/>
        </w:rPr>
        <w:br w:type="page"/>
      </w:r>
    </w:p>
    <w:p w14:paraId="36375F3F" w14:textId="3D00249F" w:rsidR="00D67BE7" w:rsidRPr="00C7480C" w:rsidRDefault="00D67BE7" w:rsidP="00D67BE7">
      <w:pPr>
        <w:spacing w:after="240"/>
        <w:rPr>
          <w:rFonts w:asciiTheme="majorHAnsi" w:eastAsia="Arial" w:hAnsiTheme="majorHAnsi" w:cstheme="majorBidi"/>
          <w:b/>
          <w:bCs/>
          <w:color w:val="000000" w:themeColor="text1"/>
          <w:sz w:val="24"/>
        </w:rPr>
      </w:pPr>
      <w:r w:rsidRPr="00C7480C">
        <w:rPr>
          <w:rFonts w:asciiTheme="majorHAnsi" w:eastAsia="Arial" w:hAnsiTheme="majorHAnsi" w:cstheme="majorBidi"/>
          <w:b/>
          <w:bCs/>
          <w:color w:val="000000" w:themeColor="text1"/>
          <w:sz w:val="24"/>
        </w:rPr>
        <w:lastRenderedPageBreak/>
        <w:t>Option 3</w:t>
      </w:r>
      <w:r w:rsidR="000B1038" w:rsidRPr="00C7480C">
        <w:rPr>
          <w:rFonts w:asciiTheme="majorHAnsi" w:eastAsia="Arial" w:hAnsiTheme="majorHAnsi" w:cstheme="majorBidi"/>
          <w:b/>
          <w:bCs/>
          <w:color w:val="000000" w:themeColor="text1"/>
          <w:sz w:val="24"/>
        </w:rPr>
        <w:t>a</w:t>
      </w:r>
      <w:r w:rsidRPr="00C7480C">
        <w:rPr>
          <w:rFonts w:asciiTheme="majorHAnsi" w:eastAsia="Arial" w:hAnsiTheme="majorHAnsi" w:cstheme="majorBidi"/>
          <w:b/>
          <w:bCs/>
          <w:color w:val="000000" w:themeColor="text1"/>
          <w:sz w:val="24"/>
        </w:rPr>
        <w:t xml:space="preserve">: </w:t>
      </w:r>
      <w:r w:rsidR="000B1038" w:rsidRPr="00C7480C">
        <w:rPr>
          <w:rFonts w:asciiTheme="majorHAnsi" w:eastAsia="Arial" w:hAnsiTheme="majorHAnsi" w:cstheme="majorBidi"/>
          <w:b/>
          <w:bCs/>
          <w:color w:val="000000" w:themeColor="text1"/>
          <w:sz w:val="24"/>
        </w:rPr>
        <w:t>Mandatory fortification of non-organic bread</w:t>
      </w:r>
    </w:p>
    <w:p w14:paraId="23044A95" w14:textId="79C33056" w:rsidR="000B1038" w:rsidRPr="000B1038" w:rsidRDefault="000B1038" w:rsidP="000B1038">
      <w:pPr>
        <w:spacing w:line="288" w:lineRule="auto"/>
        <w:rPr>
          <w:rFonts w:ascii="Arial" w:eastAsia="Times New Roman" w:hAnsi="Arial" w:cs="Times New Roman"/>
          <w:sz w:val="20"/>
          <w:szCs w:val="20"/>
        </w:rPr>
      </w:pPr>
      <w:r>
        <w:rPr>
          <w:rFonts w:ascii="Arial" w:eastAsia="Times New Roman" w:hAnsi="Arial" w:cs="Times New Roman"/>
          <w:sz w:val="20"/>
          <w:szCs w:val="20"/>
        </w:rPr>
        <w:t>O</w:t>
      </w:r>
      <w:r w:rsidRPr="000B1038">
        <w:rPr>
          <w:rFonts w:ascii="Arial" w:eastAsia="Times New Roman" w:hAnsi="Arial" w:cs="Times New Roman"/>
          <w:sz w:val="20"/>
          <w:szCs w:val="20"/>
        </w:rPr>
        <w:t>ption</w:t>
      </w:r>
      <w:r>
        <w:rPr>
          <w:rFonts w:ascii="Arial" w:eastAsia="Times New Roman" w:hAnsi="Arial" w:cs="Times New Roman"/>
          <w:sz w:val="20"/>
          <w:szCs w:val="20"/>
        </w:rPr>
        <w:t xml:space="preserve"> 3a</w:t>
      </w:r>
      <w:r w:rsidRPr="000B1038">
        <w:rPr>
          <w:rFonts w:ascii="Arial" w:eastAsia="Times New Roman" w:hAnsi="Arial" w:cs="Times New Roman"/>
          <w:sz w:val="20"/>
          <w:szCs w:val="20"/>
        </w:rPr>
        <w:t xml:space="preserve"> would see bread fortified with folic acid at the bread-making stage. It would apply to all non-organic bread products, and include bread made from cereals other than wheat</w:t>
      </w:r>
      <w:r w:rsidR="005C096F">
        <w:rPr>
          <w:rFonts w:ascii="Arial" w:eastAsia="Times New Roman" w:hAnsi="Arial" w:cs="Times New Roman"/>
          <w:sz w:val="20"/>
          <w:szCs w:val="20"/>
        </w:rPr>
        <w:t xml:space="preserve"> (e.g. corn and rice bread)</w:t>
      </w:r>
      <w:r w:rsidRPr="000B1038">
        <w:rPr>
          <w:rFonts w:ascii="Arial" w:eastAsia="Times New Roman" w:hAnsi="Arial" w:cs="Times New Roman"/>
          <w:sz w:val="20"/>
          <w:szCs w:val="20"/>
        </w:rPr>
        <w:t>.</w:t>
      </w:r>
    </w:p>
    <w:p w14:paraId="76AE015B" w14:textId="77777777" w:rsidR="000B1038" w:rsidRPr="000B1038" w:rsidRDefault="000B1038" w:rsidP="000B1038">
      <w:pPr>
        <w:spacing w:line="288" w:lineRule="auto"/>
        <w:rPr>
          <w:rFonts w:ascii="Arial" w:eastAsia="Times New Roman" w:hAnsi="Arial" w:cs="Times New Roman"/>
          <w:sz w:val="20"/>
          <w:szCs w:val="20"/>
        </w:rPr>
      </w:pPr>
      <w:r w:rsidRPr="000B1038">
        <w:rPr>
          <w:rFonts w:ascii="Arial" w:eastAsia="Times New Roman" w:hAnsi="Arial" w:cs="Times New Roman"/>
          <w:sz w:val="20"/>
          <w:szCs w:val="20"/>
        </w:rPr>
        <w:t>The Australia New Zealand Food Standards Code would continue to permit the voluntary fortification of folic acid in other specified foods (such as breakfast cereals).</w:t>
      </w:r>
    </w:p>
    <w:p w14:paraId="7085C4F8" w14:textId="3DFA986E" w:rsidR="000B1038" w:rsidRPr="00D67BE7" w:rsidRDefault="000B1038" w:rsidP="000B1038">
      <w:pPr>
        <w:rPr>
          <w:rFonts w:ascii="Arial" w:hAnsi="Arial" w:cs="Arial"/>
          <w:sz w:val="20"/>
        </w:rPr>
      </w:pPr>
      <w:r>
        <w:rPr>
          <w:rFonts w:ascii="Arial" w:hAnsi="Arial" w:cs="Arial"/>
          <w:sz w:val="20"/>
        </w:rPr>
        <w:t>MPI has assessed option 3a against the criteria for health impacts, cost effectiveness, equity, consumer choice, and other impacts on pages 2</w:t>
      </w:r>
      <w:r w:rsidR="00CB4D72">
        <w:rPr>
          <w:rFonts w:ascii="Arial" w:hAnsi="Arial" w:cs="Arial"/>
          <w:sz w:val="20"/>
        </w:rPr>
        <w:t>6</w:t>
      </w:r>
      <w:r>
        <w:rPr>
          <w:rFonts w:ascii="Arial" w:hAnsi="Arial" w:cs="Arial"/>
          <w:sz w:val="20"/>
        </w:rPr>
        <w:t xml:space="preserve"> – 2</w:t>
      </w:r>
      <w:r w:rsidR="00CB4D72">
        <w:rPr>
          <w:rFonts w:ascii="Arial" w:hAnsi="Arial" w:cs="Arial"/>
          <w:sz w:val="20"/>
        </w:rPr>
        <w:t>9</w:t>
      </w:r>
      <w:r w:rsidR="00C222BA">
        <w:rPr>
          <w:rFonts w:ascii="Arial" w:hAnsi="Arial" w:cs="Arial"/>
          <w:sz w:val="20"/>
        </w:rPr>
        <w:t xml:space="preserve"> in the discussion paper</w:t>
      </w:r>
      <w:r>
        <w:rPr>
          <w:rFonts w:ascii="Arial" w:hAnsi="Arial" w:cs="Arial"/>
          <w:sz w:val="20"/>
        </w:rPr>
        <w:t xml:space="preserve">. </w:t>
      </w:r>
    </w:p>
    <w:p w14:paraId="17A69F5D" w14:textId="57736146" w:rsidR="000B1038" w:rsidRPr="00C7480C" w:rsidRDefault="000B1038" w:rsidP="000B1038">
      <w:pPr>
        <w:pStyle w:val="ListParagraph"/>
        <w:numPr>
          <w:ilvl w:val="0"/>
          <w:numId w:val="43"/>
        </w:numPr>
        <w:spacing w:after="240"/>
        <w:rPr>
          <w:rFonts w:ascii="Arial" w:eastAsia="Arial" w:hAnsi="Arial" w:cs="Arial"/>
          <w:b/>
          <w:bCs/>
          <w:color w:val="000000" w:themeColor="text1"/>
          <w:sz w:val="20"/>
        </w:rPr>
      </w:pPr>
      <w:r w:rsidRPr="00C7480C">
        <w:rPr>
          <w:rFonts w:ascii="Arial" w:eastAsia="Arial" w:hAnsi="Arial" w:cs="Arial"/>
          <w:b/>
          <w:bCs/>
          <w:color w:val="000000" w:themeColor="text1"/>
          <w:sz w:val="20"/>
        </w:rPr>
        <w:t>DO YOU AGREE WITH THE ASSESSMENT OF MANDATORY FOLIC ACID FORTIFICATION OF BREAD AGAINST THE CRITERIA AND LIKELY IMPACTS?</w:t>
      </w:r>
    </w:p>
    <w:p w14:paraId="3D44E9FD" w14:textId="2C220AA3" w:rsidR="000B1038" w:rsidRPr="0016675F"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1256580109"/>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Agree</w:t>
      </w:r>
      <w:r w:rsidR="000B1038" w:rsidRPr="0016675F">
        <w:rPr>
          <w:rFonts w:ascii="Arial" w:hAnsi="Arial" w:cs="Arial"/>
          <w:sz w:val="20"/>
          <w:szCs w:val="20"/>
        </w:rPr>
        <w:t>.</w:t>
      </w:r>
    </w:p>
    <w:p w14:paraId="17D171BE" w14:textId="77777777" w:rsidR="000B1038" w:rsidRPr="0016675F"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1917544519"/>
          <w14:checkbox>
            <w14:checked w14:val="0"/>
            <w14:checkedState w14:val="2612" w14:font="MS Gothic"/>
            <w14:uncheckedState w14:val="2610" w14:font="MS Gothic"/>
          </w14:checkbox>
        </w:sdtPr>
        <w:sdtEndPr/>
        <w:sdtContent>
          <w:r w:rsidR="000B1038" w:rsidRPr="0016675F">
            <w:rPr>
              <w:rFonts w:ascii="Segoe UI Symbol" w:eastAsia="MS Gothic" w:hAnsi="Segoe UI Symbol" w:cs="Segoe UI Symbol"/>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Disagree</w:t>
      </w:r>
      <w:r w:rsidR="000B1038" w:rsidRPr="0016675F">
        <w:rPr>
          <w:rFonts w:ascii="Arial" w:hAnsi="Arial" w:cs="Arial"/>
          <w:sz w:val="20"/>
          <w:szCs w:val="20"/>
        </w:rPr>
        <w:t>.</w:t>
      </w:r>
    </w:p>
    <w:p w14:paraId="59054FE7" w14:textId="77777777" w:rsidR="000B1038"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31845518"/>
          <w14:checkbox>
            <w14:checked w14:val="0"/>
            <w14:checkedState w14:val="2612" w14:font="MS Gothic"/>
            <w14:uncheckedState w14:val="2610" w14:font="MS Gothic"/>
          </w14:checkbox>
        </w:sdtPr>
        <w:sdtEndPr/>
        <w:sdtContent>
          <w:r w:rsidR="000B1038" w:rsidRPr="0016675F">
            <w:rPr>
              <w:rFonts w:ascii="Segoe UI Symbol" w:eastAsia="MS Gothic" w:hAnsi="Segoe UI Symbol" w:cs="Segoe UI Symbol"/>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Unsure</w:t>
      </w:r>
      <w:r w:rsidR="000B1038" w:rsidRPr="0016675F">
        <w:rPr>
          <w:rFonts w:ascii="Arial" w:hAnsi="Arial" w:cs="Arial"/>
          <w:sz w:val="20"/>
          <w:szCs w:val="20"/>
        </w:rPr>
        <w:t>.</w:t>
      </w:r>
    </w:p>
    <w:p w14:paraId="3BD72E81" w14:textId="77777777" w:rsidR="000B1038" w:rsidRPr="0016675F" w:rsidRDefault="000B1038" w:rsidP="000B1038">
      <w:pPr>
        <w:tabs>
          <w:tab w:val="left" w:pos="0"/>
          <w:tab w:val="left" w:pos="284"/>
        </w:tabs>
        <w:spacing w:after="0"/>
        <w:rPr>
          <w:rFonts w:ascii="Arial" w:hAnsi="Arial" w:cs="Arial"/>
          <w:sz w:val="20"/>
          <w:szCs w:val="20"/>
        </w:rPr>
      </w:pPr>
    </w:p>
    <w:p w14:paraId="491FDFAF" w14:textId="385707D6" w:rsidR="000B1038" w:rsidRDefault="000B1038" w:rsidP="000B1038">
      <w:pPr>
        <w:tabs>
          <w:tab w:val="left" w:pos="284"/>
        </w:tabs>
        <w:spacing w:after="0"/>
        <w:rPr>
          <w:rFonts w:ascii="Arial" w:hAnsi="Arial" w:cs="Arial"/>
          <w:sz w:val="20"/>
          <w:szCs w:val="20"/>
        </w:rPr>
      </w:pPr>
      <w:r>
        <w:rPr>
          <w:rFonts w:ascii="Arial" w:hAnsi="Arial" w:cs="Arial"/>
          <w:sz w:val="20"/>
          <w:szCs w:val="20"/>
        </w:rPr>
        <w:t>Please explain why</w:t>
      </w:r>
      <w:r w:rsidR="005C096F">
        <w:rPr>
          <w:rFonts w:ascii="Arial" w:hAnsi="Arial" w:cs="Arial"/>
          <w:sz w:val="20"/>
          <w:szCs w:val="20"/>
        </w:rPr>
        <w:t xml:space="preserve"> and provide any evidence you may have</w:t>
      </w:r>
      <w:r>
        <w:rPr>
          <w:rFonts w:ascii="Arial" w:hAnsi="Arial" w:cs="Arial"/>
          <w:sz w:val="20"/>
          <w:szCs w:val="20"/>
        </w:rPr>
        <w:t>:</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0B1038" w:rsidRPr="00312439" w14:paraId="44D8537A" w14:textId="77777777" w:rsidTr="00FA22E8">
        <w:trPr>
          <w:cantSplit/>
        </w:trPr>
        <w:tc>
          <w:tcPr>
            <w:tcW w:w="9176" w:type="dxa"/>
            <w:tcBorders>
              <w:bottom w:val="single" w:sz="24" w:space="0" w:color="FFFFFF"/>
            </w:tcBorders>
            <w:shd w:val="clear" w:color="auto" w:fill="E6E6E6"/>
          </w:tcPr>
          <w:p w14:paraId="38765264" w14:textId="77777777" w:rsidR="009F1AD9" w:rsidRPr="00891685" w:rsidRDefault="009F1AD9" w:rsidP="009F1AD9">
            <w:pPr>
              <w:spacing w:after="160" w:line="259" w:lineRule="auto"/>
              <w:rPr>
                <w:rFonts w:ascii="Arial" w:hAnsi="Arial" w:cs="Arial"/>
                <w:sz w:val="20"/>
                <w:szCs w:val="20"/>
                <w:lang w:val="en-AU"/>
              </w:rPr>
            </w:pPr>
            <w:r w:rsidRPr="00891685">
              <w:rPr>
                <w:rFonts w:ascii="Arial" w:hAnsi="Arial" w:cs="Arial"/>
                <w:sz w:val="20"/>
                <w:szCs w:val="20"/>
                <w:lang w:val="en-AU"/>
              </w:rPr>
              <w:t xml:space="preserve">We </w:t>
            </w:r>
            <w:r>
              <w:rPr>
                <w:rFonts w:ascii="Arial" w:hAnsi="Arial" w:cs="Arial"/>
                <w:sz w:val="20"/>
                <w:szCs w:val="20"/>
                <w:lang w:val="en-AU"/>
              </w:rPr>
              <w:t xml:space="preserve">agree </w:t>
            </w:r>
            <w:r w:rsidRPr="00891685">
              <w:rPr>
                <w:rFonts w:ascii="Arial" w:hAnsi="Arial" w:cs="Arial"/>
                <w:sz w:val="20"/>
                <w:szCs w:val="20"/>
                <w:lang w:val="en-AU"/>
              </w:rPr>
              <w:t>with the assessment but support mandatory folic acid forti</w:t>
            </w:r>
            <w:r>
              <w:rPr>
                <w:rFonts w:ascii="Arial" w:hAnsi="Arial" w:cs="Arial"/>
                <w:sz w:val="20"/>
                <w:szCs w:val="20"/>
                <w:lang w:val="en-AU"/>
              </w:rPr>
              <w:t xml:space="preserve">fication Option 3b based on the </w:t>
            </w:r>
            <w:r w:rsidRPr="00891685">
              <w:rPr>
                <w:rFonts w:ascii="Arial" w:hAnsi="Arial" w:cs="Arial"/>
                <w:sz w:val="20"/>
                <w:szCs w:val="20"/>
                <w:lang w:val="en-AU"/>
              </w:rPr>
              <w:t>modelling and data provided by MPI</w:t>
            </w:r>
            <w:r>
              <w:rPr>
                <w:rFonts w:ascii="Arial" w:hAnsi="Arial" w:cs="Arial"/>
                <w:sz w:val="20"/>
                <w:szCs w:val="20"/>
                <w:lang w:val="en-AU"/>
              </w:rPr>
              <w:t>.</w:t>
            </w:r>
          </w:p>
          <w:p w14:paraId="2F6B5CEA" w14:textId="74F9B10E" w:rsidR="000B1038" w:rsidRPr="00312439" w:rsidRDefault="009F1AD9" w:rsidP="00FA22E8">
            <w:pPr>
              <w:spacing w:after="120"/>
              <w:rPr>
                <w:rFonts w:ascii="Arial" w:hAnsi="Arial" w:cs="Arial"/>
                <w:sz w:val="20"/>
                <w:szCs w:val="20"/>
              </w:rPr>
            </w:pPr>
            <w:r w:rsidRPr="00891685">
              <w:rPr>
                <w:rFonts w:ascii="Arial" w:hAnsi="Arial" w:cs="Arial"/>
                <w:sz w:val="20"/>
                <w:szCs w:val="20"/>
              </w:rPr>
              <w:t>Despite Option 3a having the capacity to make good improvements in equitable outcomes for NDTs, the implementation difficulties, high costs to implement and monitoring and limitations in food choice for consumers make this option undesirable.</w:t>
            </w:r>
          </w:p>
        </w:tc>
      </w:tr>
    </w:tbl>
    <w:p w14:paraId="387773B2" w14:textId="77777777" w:rsidR="000B1038" w:rsidRDefault="000B1038">
      <w:pPr>
        <w:rPr>
          <w:rFonts w:asciiTheme="majorHAnsi" w:eastAsia="Arial" w:hAnsiTheme="majorHAnsi" w:cstheme="majorBidi"/>
          <w:b/>
          <w:bCs/>
          <w:color w:val="000000" w:themeColor="text1"/>
        </w:rPr>
      </w:pPr>
      <w:r>
        <w:rPr>
          <w:rFonts w:asciiTheme="majorHAnsi" w:eastAsia="Arial" w:hAnsiTheme="majorHAnsi" w:cstheme="majorBidi"/>
          <w:b/>
          <w:bCs/>
          <w:color w:val="000000" w:themeColor="text1"/>
        </w:rPr>
        <w:br w:type="page"/>
      </w:r>
    </w:p>
    <w:p w14:paraId="4255552C" w14:textId="2EA62F75" w:rsidR="000B1038" w:rsidRPr="00C7480C" w:rsidRDefault="000B1038" w:rsidP="000B1038">
      <w:pPr>
        <w:spacing w:after="240"/>
        <w:rPr>
          <w:rFonts w:asciiTheme="majorHAnsi" w:eastAsia="Arial" w:hAnsiTheme="majorHAnsi" w:cstheme="majorBidi"/>
          <w:b/>
          <w:bCs/>
          <w:color w:val="000000" w:themeColor="text1"/>
          <w:sz w:val="24"/>
        </w:rPr>
      </w:pPr>
      <w:r w:rsidRPr="00C7480C">
        <w:rPr>
          <w:rFonts w:asciiTheme="majorHAnsi" w:eastAsia="Arial" w:hAnsiTheme="majorHAnsi" w:cstheme="majorBidi"/>
          <w:b/>
          <w:bCs/>
          <w:color w:val="000000" w:themeColor="text1"/>
          <w:sz w:val="24"/>
        </w:rPr>
        <w:lastRenderedPageBreak/>
        <w:t>Option 3b: Mandatory fortification of non-organic bread-making wheat flour</w:t>
      </w:r>
    </w:p>
    <w:p w14:paraId="618D2841" w14:textId="60D5753B" w:rsidR="000B1038" w:rsidRPr="000B1038" w:rsidRDefault="000B1038" w:rsidP="000B1038">
      <w:pPr>
        <w:rPr>
          <w:rFonts w:ascii="Arial" w:hAnsi="Arial" w:cs="Arial"/>
          <w:sz w:val="20"/>
        </w:rPr>
      </w:pPr>
      <w:r w:rsidRPr="000B1038">
        <w:rPr>
          <w:rFonts w:ascii="Arial" w:hAnsi="Arial" w:cs="Arial"/>
          <w:sz w:val="20"/>
        </w:rPr>
        <w:t>Under option 3b, all non-organic wheat flour for bread-making would be fortified with folic acid at the flour-milling stage. In general, folic acid is best added late in the milling process and at a point that ensures thorough and consistent mixing with the flour.</w:t>
      </w:r>
    </w:p>
    <w:p w14:paraId="45E964C3" w14:textId="2630913C" w:rsidR="00ED2ED3" w:rsidRDefault="000B1038" w:rsidP="000B1038">
      <w:pPr>
        <w:rPr>
          <w:rFonts w:ascii="Arial" w:hAnsi="Arial" w:cs="Arial"/>
          <w:sz w:val="20"/>
        </w:rPr>
      </w:pPr>
      <w:r w:rsidRPr="000B1038">
        <w:rPr>
          <w:rFonts w:ascii="Arial" w:hAnsi="Arial" w:cs="Arial"/>
          <w:sz w:val="20"/>
        </w:rPr>
        <w:t>Cereals other than wheat that are processed into flour for bread-making purposes would not be required to be fortified with folic acid</w:t>
      </w:r>
      <w:r w:rsidR="00ED2ED3">
        <w:rPr>
          <w:rFonts w:ascii="Arial" w:hAnsi="Arial" w:cs="Arial"/>
          <w:sz w:val="20"/>
        </w:rPr>
        <w:t xml:space="preserve"> (such as rice)</w:t>
      </w:r>
      <w:r w:rsidRPr="000B1038">
        <w:rPr>
          <w:rFonts w:ascii="Arial" w:hAnsi="Arial" w:cs="Arial"/>
          <w:sz w:val="20"/>
        </w:rPr>
        <w:t>.</w:t>
      </w:r>
      <w:r w:rsidR="00ED2ED3">
        <w:rPr>
          <w:rFonts w:ascii="Arial" w:hAnsi="Arial" w:cs="Arial"/>
          <w:sz w:val="20"/>
        </w:rPr>
        <w:t xml:space="preserve"> </w:t>
      </w:r>
    </w:p>
    <w:p w14:paraId="7F4E3148" w14:textId="4917D8ED" w:rsidR="000B1038" w:rsidRPr="000B1038" w:rsidRDefault="00ED2ED3" w:rsidP="000B1038">
      <w:pPr>
        <w:rPr>
          <w:rFonts w:ascii="Arial" w:hAnsi="Arial" w:cs="Arial"/>
          <w:sz w:val="20"/>
        </w:rPr>
      </w:pPr>
      <w:r>
        <w:rPr>
          <w:rFonts w:ascii="Arial" w:hAnsi="Arial" w:cs="Arial"/>
          <w:sz w:val="20"/>
        </w:rPr>
        <w:t xml:space="preserve">Flour used for purposes other than bread making would not be required to be fortified. </w:t>
      </w:r>
    </w:p>
    <w:p w14:paraId="6113650B" w14:textId="77777777" w:rsidR="003E541D" w:rsidRDefault="003E541D" w:rsidP="000B1038">
      <w:pPr>
        <w:rPr>
          <w:rFonts w:ascii="Arial" w:hAnsi="Arial" w:cs="Arial"/>
          <w:sz w:val="20"/>
        </w:rPr>
      </w:pPr>
      <w:r w:rsidRPr="003E541D">
        <w:rPr>
          <w:rFonts w:ascii="Arial" w:hAnsi="Arial" w:cs="Arial"/>
          <w:sz w:val="20"/>
        </w:rPr>
        <w:t xml:space="preserve">The Australia New Zealand Food Standards Code would continue to permit the voluntary fortification of folic acid in other specified foods (such as breakfast cereals). </w:t>
      </w:r>
    </w:p>
    <w:p w14:paraId="476A3E3F" w14:textId="401833FC" w:rsidR="000B1038" w:rsidRPr="00D67BE7" w:rsidRDefault="000B1038" w:rsidP="000B1038">
      <w:pPr>
        <w:rPr>
          <w:rFonts w:ascii="Arial" w:hAnsi="Arial" w:cs="Arial"/>
          <w:sz w:val="20"/>
        </w:rPr>
      </w:pPr>
      <w:r>
        <w:rPr>
          <w:rFonts w:ascii="Arial" w:hAnsi="Arial" w:cs="Arial"/>
          <w:sz w:val="20"/>
        </w:rPr>
        <w:t>MPI has assessed option 3b against the criteria for health impacts, cost effectiveness, equity, consumer choice, an</w:t>
      </w:r>
      <w:r w:rsidR="001A4D3D">
        <w:rPr>
          <w:rFonts w:ascii="Arial" w:hAnsi="Arial" w:cs="Arial"/>
          <w:sz w:val="20"/>
        </w:rPr>
        <w:t>d other impacts on pages 3</w:t>
      </w:r>
      <w:r w:rsidR="00CB4D72">
        <w:rPr>
          <w:rFonts w:ascii="Arial" w:hAnsi="Arial" w:cs="Arial"/>
          <w:sz w:val="20"/>
        </w:rPr>
        <w:t>0</w:t>
      </w:r>
      <w:r w:rsidR="001A4D3D">
        <w:rPr>
          <w:rFonts w:ascii="Arial" w:hAnsi="Arial" w:cs="Arial"/>
          <w:sz w:val="20"/>
        </w:rPr>
        <w:t xml:space="preserve"> – 34</w:t>
      </w:r>
      <w:r w:rsidR="00C222BA">
        <w:rPr>
          <w:rFonts w:ascii="Arial" w:hAnsi="Arial" w:cs="Arial"/>
          <w:sz w:val="20"/>
        </w:rPr>
        <w:t xml:space="preserve"> in the discussion paper</w:t>
      </w:r>
      <w:r>
        <w:rPr>
          <w:rFonts w:ascii="Arial" w:hAnsi="Arial" w:cs="Arial"/>
          <w:sz w:val="20"/>
        </w:rPr>
        <w:t xml:space="preserve">. </w:t>
      </w:r>
    </w:p>
    <w:p w14:paraId="5F4B02E6" w14:textId="48E1B5A0" w:rsidR="00D67BE7" w:rsidRPr="00C7480C" w:rsidRDefault="000B1038" w:rsidP="000B1038">
      <w:pPr>
        <w:pStyle w:val="ListParagraph"/>
        <w:numPr>
          <w:ilvl w:val="0"/>
          <w:numId w:val="43"/>
        </w:numPr>
        <w:rPr>
          <w:rFonts w:ascii="Arial" w:hAnsi="Arial" w:cs="Arial"/>
          <w:b/>
          <w:sz w:val="20"/>
          <w:szCs w:val="20"/>
        </w:rPr>
      </w:pPr>
      <w:r w:rsidRPr="00C7480C">
        <w:rPr>
          <w:rFonts w:ascii="Arial" w:hAnsi="Arial" w:cs="Arial"/>
          <w:b/>
          <w:sz w:val="20"/>
          <w:szCs w:val="20"/>
        </w:rPr>
        <w:t>DO YOU AGREE WITH THE ASSESSMENT OF MANDATORY FOLIC ACID FORTIFICATION OF BREAD-MAKING WHEAT FLOUR AGAINST THE CRITERIA AND LIKELY IMPACTS?</w:t>
      </w:r>
    </w:p>
    <w:p w14:paraId="5764DE19" w14:textId="067B8762" w:rsidR="000B1038" w:rsidRPr="0016675F"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680937521"/>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Agree</w:t>
      </w:r>
      <w:r w:rsidR="000B1038" w:rsidRPr="0016675F">
        <w:rPr>
          <w:rFonts w:ascii="Arial" w:hAnsi="Arial" w:cs="Arial"/>
          <w:sz w:val="20"/>
          <w:szCs w:val="20"/>
        </w:rPr>
        <w:t>.</w:t>
      </w:r>
    </w:p>
    <w:p w14:paraId="53A93B19" w14:textId="77777777" w:rsidR="000B1038" w:rsidRPr="0016675F"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461194935"/>
          <w14:checkbox>
            <w14:checked w14:val="0"/>
            <w14:checkedState w14:val="2612" w14:font="MS Gothic"/>
            <w14:uncheckedState w14:val="2610" w14:font="MS Gothic"/>
          </w14:checkbox>
        </w:sdtPr>
        <w:sdtEndPr/>
        <w:sdtContent>
          <w:r w:rsidR="000B1038" w:rsidRPr="0016675F">
            <w:rPr>
              <w:rFonts w:ascii="Segoe UI Symbol" w:eastAsia="MS Gothic" w:hAnsi="Segoe UI Symbol" w:cs="Segoe UI Symbol"/>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Disagree</w:t>
      </w:r>
      <w:r w:rsidR="000B1038" w:rsidRPr="0016675F">
        <w:rPr>
          <w:rFonts w:ascii="Arial" w:hAnsi="Arial" w:cs="Arial"/>
          <w:sz w:val="20"/>
          <w:szCs w:val="20"/>
        </w:rPr>
        <w:t>.</w:t>
      </w:r>
    </w:p>
    <w:p w14:paraId="1E4D1C01" w14:textId="77777777" w:rsidR="000B1038" w:rsidRDefault="00647DFA" w:rsidP="000B1038">
      <w:pPr>
        <w:tabs>
          <w:tab w:val="left" w:pos="0"/>
          <w:tab w:val="left" w:pos="284"/>
        </w:tabs>
        <w:spacing w:after="0"/>
        <w:ind w:left="568" w:hanging="284"/>
        <w:rPr>
          <w:rFonts w:ascii="Arial" w:hAnsi="Arial" w:cs="Arial"/>
          <w:sz w:val="20"/>
          <w:szCs w:val="20"/>
        </w:rPr>
      </w:pPr>
      <w:sdt>
        <w:sdtPr>
          <w:rPr>
            <w:rFonts w:ascii="Arial" w:hAnsi="Arial" w:cs="Arial"/>
            <w:sz w:val="20"/>
            <w:szCs w:val="20"/>
          </w:rPr>
          <w:id w:val="2124721878"/>
          <w14:checkbox>
            <w14:checked w14:val="0"/>
            <w14:checkedState w14:val="2612" w14:font="MS Gothic"/>
            <w14:uncheckedState w14:val="2610" w14:font="MS Gothic"/>
          </w14:checkbox>
        </w:sdtPr>
        <w:sdtEndPr/>
        <w:sdtContent>
          <w:r w:rsidR="000B1038" w:rsidRPr="0016675F">
            <w:rPr>
              <w:rFonts w:ascii="Segoe UI Symbol" w:eastAsia="MS Gothic" w:hAnsi="Segoe UI Symbol" w:cs="Segoe UI Symbol"/>
              <w:sz w:val="20"/>
              <w:szCs w:val="20"/>
            </w:rPr>
            <w:t>☐</w:t>
          </w:r>
        </w:sdtContent>
      </w:sdt>
      <w:r w:rsidR="000B1038" w:rsidRPr="0016675F">
        <w:rPr>
          <w:rFonts w:ascii="Arial" w:hAnsi="Arial" w:cs="Arial"/>
          <w:sz w:val="20"/>
          <w:szCs w:val="20"/>
        </w:rPr>
        <w:t xml:space="preserve"> </w:t>
      </w:r>
      <w:r w:rsidR="000B1038">
        <w:rPr>
          <w:rFonts w:ascii="Arial" w:hAnsi="Arial" w:cs="Arial"/>
          <w:sz w:val="20"/>
          <w:szCs w:val="20"/>
        </w:rPr>
        <w:t>Unsure</w:t>
      </w:r>
      <w:r w:rsidR="000B1038" w:rsidRPr="0016675F">
        <w:rPr>
          <w:rFonts w:ascii="Arial" w:hAnsi="Arial" w:cs="Arial"/>
          <w:sz w:val="20"/>
          <w:szCs w:val="20"/>
        </w:rPr>
        <w:t>.</w:t>
      </w:r>
    </w:p>
    <w:p w14:paraId="0F3817C0" w14:textId="77777777" w:rsidR="000B1038" w:rsidRPr="0016675F" w:rsidRDefault="000B1038" w:rsidP="000B1038">
      <w:pPr>
        <w:tabs>
          <w:tab w:val="left" w:pos="0"/>
          <w:tab w:val="left" w:pos="284"/>
        </w:tabs>
        <w:spacing w:after="0"/>
        <w:rPr>
          <w:rFonts w:ascii="Arial" w:hAnsi="Arial" w:cs="Arial"/>
          <w:sz w:val="20"/>
          <w:szCs w:val="20"/>
        </w:rPr>
      </w:pPr>
    </w:p>
    <w:p w14:paraId="75F3DBDE" w14:textId="16176D00" w:rsidR="000B1038" w:rsidRDefault="000B1038" w:rsidP="000B1038">
      <w:pPr>
        <w:tabs>
          <w:tab w:val="left" w:pos="284"/>
        </w:tabs>
        <w:spacing w:after="0"/>
        <w:rPr>
          <w:rFonts w:ascii="Arial" w:hAnsi="Arial" w:cs="Arial"/>
          <w:sz w:val="20"/>
          <w:szCs w:val="20"/>
        </w:rPr>
      </w:pPr>
      <w:r>
        <w:rPr>
          <w:rFonts w:ascii="Arial" w:hAnsi="Arial" w:cs="Arial"/>
          <w:sz w:val="20"/>
          <w:szCs w:val="20"/>
        </w:rPr>
        <w:t>Please explain why</w:t>
      </w:r>
      <w:r w:rsidR="00ED2ED3">
        <w:rPr>
          <w:rFonts w:ascii="Arial" w:hAnsi="Arial" w:cs="Arial"/>
          <w:sz w:val="20"/>
          <w:szCs w:val="20"/>
        </w:rPr>
        <w:t xml:space="preserve"> and provide any evidence you may have</w:t>
      </w:r>
      <w:r>
        <w:rPr>
          <w:rFonts w:ascii="Arial" w:hAnsi="Arial" w:cs="Arial"/>
          <w:sz w:val="20"/>
          <w:szCs w:val="20"/>
        </w:rPr>
        <w:t>:</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0B1038" w:rsidRPr="00312439" w14:paraId="517871AA" w14:textId="77777777" w:rsidTr="00FA22E8">
        <w:trPr>
          <w:cantSplit/>
        </w:trPr>
        <w:tc>
          <w:tcPr>
            <w:tcW w:w="9176" w:type="dxa"/>
            <w:tcBorders>
              <w:bottom w:val="single" w:sz="24" w:space="0" w:color="FFFFFF"/>
            </w:tcBorders>
            <w:shd w:val="clear" w:color="auto" w:fill="E6E6E6"/>
          </w:tcPr>
          <w:p w14:paraId="44D3BF9F" w14:textId="77777777" w:rsidR="009F1AD9" w:rsidRPr="00891685" w:rsidRDefault="009F1AD9" w:rsidP="009F1AD9">
            <w:pPr>
              <w:spacing w:after="120"/>
              <w:rPr>
                <w:rFonts w:ascii="Arial" w:hAnsi="Arial" w:cs="Arial"/>
                <w:sz w:val="20"/>
                <w:szCs w:val="20"/>
              </w:rPr>
            </w:pPr>
            <w:r w:rsidRPr="00891685">
              <w:rPr>
                <w:rFonts w:ascii="Arial" w:hAnsi="Arial" w:cs="Arial"/>
                <w:sz w:val="20"/>
                <w:szCs w:val="20"/>
              </w:rPr>
              <w:t xml:space="preserve">The Cancer Society </w:t>
            </w:r>
            <w:r w:rsidRPr="00891685">
              <w:rPr>
                <w:rFonts w:ascii="Arial" w:hAnsi="Arial" w:cs="Arial"/>
                <w:sz w:val="20"/>
                <w:szCs w:val="20"/>
                <w:lang w:val="en-AU"/>
              </w:rPr>
              <w:t>agrees</w:t>
            </w:r>
            <w:r>
              <w:rPr>
                <w:rFonts w:ascii="Arial" w:hAnsi="Arial" w:cs="Arial"/>
                <w:sz w:val="20"/>
                <w:szCs w:val="20"/>
                <w:lang w:val="en-AU"/>
              </w:rPr>
              <w:t xml:space="preserve"> </w:t>
            </w:r>
            <w:r w:rsidRPr="00891685">
              <w:rPr>
                <w:rFonts w:ascii="Arial" w:hAnsi="Arial" w:cs="Arial"/>
                <w:sz w:val="20"/>
                <w:szCs w:val="20"/>
                <w:lang w:val="en-AU"/>
              </w:rPr>
              <w:t xml:space="preserve">with the assessment and </w:t>
            </w:r>
            <w:r w:rsidRPr="00891685">
              <w:rPr>
                <w:rFonts w:ascii="Arial" w:hAnsi="Arial" w:cs="Arial"/>
                <w:sz w:val="20"/>
                <w:szCs w:val="20"/>
              </w:rPr>
              <w:t xml:space="preserve">supports Option 3b: Mandatory Fortification of Non Organic bread making wheat flour based on the evidence provided by </w:t>
            </w:r>
            <w:r>
              <w:rPr>
                <w:rFonts w:ascii="Arial" w:hAnsi="Arial" w:cs="Arial"/>
                <w:sz w:val="20"/>
                <w:szCs w:val="20"/>
              </w:rPr>
              <w:t xml:space="preserve">MPI.  </w:t>
            </w:r>
            <w:r w:rsidRPr="00891685">
              <w:rPr>
                <w:rFonts w:ascii="Arial" w:hAnsi="Arial" w:cs="Arial"/>
                <w:sz w:val="20"/>
                <w:szCs w:val="20"/>
              </w:rPr>
              <w:t>Option b appears to</w:t>
            </w:r>
            <w:r>
              <w:rPr>
                <w:rFonts w:ascii="Arial" w:hAnsi="Arial" w:cs="Arial"/>
                <w:sz w:val="20"/>
                <w:szCs w:val="20"/>
              </w:rPr>
              <w:t xml:space="preserve"> provide the best balance</w:t>
            </w:r>
            <w:r w:rsidRPr="00891685">
              <w:rPr>
                <w:rFonts w:ascii="Arial" w:hAnsi="Arial" w:cs="Arial"/>
                <w:sz w:val="20"/>
                <w:szCs w:val="20"/>
              </w:rPr>
              <w:t xml:space="preserve"> </w:t>
            </w:r>
            <w:r>
              <w:rPr>
                <w:rFonts w:ascii="Arial" w:hAnsi="Arial" w:cs="Arial"/>
                <w:sz w:val="20"/>
                <w:szCs w:val="20"/>
              </w:rPr>
              <w:t xml:space="preserve">between increasing folate of the population and </w:t>
            </w:r>
          </w:p>
          <w:p w14:paraId="0A6B1CE4" w14:textId="77777777" w:rsidR="009F1AD9" w:rsidRPr="00891685" w:rsidRDefault="009F1AD9" w:rsidP="009F1AD9">
            <w:pPr>
              <w:pStyle w:val="ListParagraph"/>
              <w:numPr>
                <w:ilvl w:val="0"/>
                <w:numId w:val="48"/>
              </w:numPr>
              <w:spacing w:after="120"/>
              <w:rPr>
                <w:rFonts w:ascii="Arial" w:hAnsi="Arial" w:cs="Arial"/>
                <w:sz w:val="20"/>
                <w:szCs w:val="20"/>
              </w:rPr>
            </w:pPr>
            <w:r w:rsidRPr="00891685">
              <w:rPr>
                <w:rFonts w:ascii="Arial" w:hAnsi="Arial" w:cs="Arial"/>
                <w:sz w:val="20"/>
                <w:szCs w:val="20"/>
              </w:rPr>
              <w:t>health risk improvement (of NDTs and impacts on other populations)</w:t>
            </w:r>
          </w:p>
          <w:p w14:paraId="4A402068" w14:textId="77777777" w:rsidR="009F1AD9" w:rsidRPr="00891685" w:rsidRDefault="009F1AD9" w:rsidP="009F1AD9">
            <w:pPr>
              <w:pStyle w:val="ListParagraph"/>
              <w:numPr>
                <w:ilvl w:val="0"/>
                <w:numId w:val="48"/>
              </w:numPr>
              <w:spacing w:after="120"/>
              <w:rPr>
                <w:rFonts w:ascii="Arial" w:hAnsi="Arial" w:cs="Arial"/>
                <w:sz w:val="20"/>
                <w:szCs w:val="20"/>
              </w:rPr>
            </w:pPr>
            <w:r w:rsidRPr="00891685">
              <w:rPr>
                <w:rFonts w:ascii="Arial" w:hAnsi="Arial" w:cs="Arial"/>
                <w:sz w:val="20"/>
                <w:szCs w:val="20"/>
              </w:rPr>
              <w:t>the wider reach to vulnerable populations to improve inequities of NDTs</w:t>
            </w:r>
          </w:p>
          <w:p w14:paraId="19281DDC" w14:textId="77777777" w:rsidR="009F1AD9" w:rsidRPr="00891685" w:rsidRDefault="009F1AD9" w:rsidP="009F1AD9">
            <w:pPr>
              <w:pStyle w:val="ListParagraph"/>
              <w:numPr>
                <w:ilvl w:val="0"/>
                <w:numId w:val="48"/>
              </w:numPr>
              <w:spacing w:after="120"/>
              <w:rPr>
                <w:rFonts w:ascii="Arial" w:hAnsi="Arial" w:cs="Arial"/>
                <w:sz w:val="20"/>
                <w:szCs w:val="20"/>
              </w:rPr>
            </w:pPr>
            <w:r w:rsidRPr="00891685">
              <w:rPr>
                <w:rFonts w:ascii="Arial" w:hAnsi="Arial" w:cs="Arial"/>
                <w:sz w:val="20"/>
                <w:szCs w:val="20"/>
              </w:rPr>
              <w:t xml:space="preserve">cost and to a less extent </w:t>
            </w:r>
          </w:p>
          <w:p w14:paraId="330E3FDD" w14:textId="77777777" w:rsidR="009F1AD9" w:rsidRPr="00891685" w:rsidRDefault="009F1AD9" w:rsidP="009F1AD9">
            <w:pPr>
              <w:pStyle w:val="ListParagraph"/>
              <w:numPr>
                <w:ilvl w:val="0"/>
                <w:numId w:val="48"/>
              </w:numPr>
              <w:spacing w:after="120"/>
              <w:rPr>
                <w:rFonts w:ascii="Arial" w:hAnsi="Arial" w:cs="Arial"/>
                <w:sz w:val="20"/>
                <w:szCs w:val="20"/>
              </w:rPr>
            </w:pPr>
            <w:r w:rsidRPr="00891685">
              <w:rPr>
                <w:rFonts w:ascii="Arial" w:hAnsi="Arial" w:cs="Arial"/>
                <w:sz w:val="20"/>
                <w:szCs w:val="20"/>
              </w:rPr>
              <w:t xml:space="preserve">consumer choice </w:t>
            </w:r>
          </w:p>
          <w:p w14:paraId="721CAF27" w14:textId="66DA483B" w:rsidR="000B1038" w:rsidRPr="00312439" w:rsidRDefault="009F1AD9" w:rsidP="00FA22E8">
            <w:pPr>
              <w:spacing w:after="120"/>
              <w:rPr>
                <w:rFonts w:ascii="Arial" w:hAnsi="Arial" w:cs="Arial"/>
                <w:sz w:val="20"/>
                <w:szCs w:val="20"/>
              </w:rPr>
            </w:pPr>
            <w:r w:rsidRPr="00891685">
              <w:rPr>
                <w:rFonts w:ascii="Arial" w:hAnsi="Arial" w:cs="Arial"/>
                <w:sz w:val="20"/>
                <w:szCs w:val="20"/>
              </w:rPr>
              <w:t>This would also align well with Australia Food Standards and their fortification experiences.</w:t>
            </w:r>
            <w:r>
              <w:rPr>
                <w:rFonts w:ascii="Arial" w:hAnsi="Arial" w:cs="Arial"/>
                <w:sz w:val="20"/>
                <w:szCs w:val="20"/>
              </w:rPr>
              <w:t xml:space="preserve">  </w:t>
            </w:r>
          </w:p>
        </w:tc>
      </w:tr>
    </w:tbl>
    <w:p w14:paraId="5AA49C26" w14:textId="77777777" w:rsidR="000B1038" w:rsidRDefault="000B1038" w:rsidP="000B1038">
      <w:pPr>
        <w:rPr>
          <w:rFonts w:asciiTheme="majorHAnsi" w:eastAsia="Arial" w:hAnsiTheme="majorHAnsi" w:cstheme="majorBidi"/>
          <w:b/>
          <w:bCs/>
          <w:color w:val="000000" w:themeColor="text1"/>
        </w:rPr>
      </w:pPr>
      <w:r>
        <w:rPr>
          <w:rFonts w:asciiTheme="majorHAnsi" w:eastAsia="Arial" w:hAnsiTheme="majorHAnsi" w:cstheme="majorBidi"/>
          <w:b/>
          <w:bCs/>
          <w:color w:val="000000" w:themeColor="text1"/>
        </w:rPr>
        <w:br w:type="page"/>
      </w:r>
    </w:p>
    <w:p w14:paraId="1D4C9B36" w14:textId="77777777" w:rsidR="00DE1400" w:rsidRDefault="000B1038" w:rsidP="00DE1400">
      <w:pPr>
        <w:spacing w:after="240"/>
        <w:rPr>
          <w:rFonts w:asciiTheme="majorHAnsi" w:eastAsia="Arial" w:hAnsiTheme="majorHAnsi" w:cstheme="majorBidi"/>
          <w:b/>
          <w:bCs/>
          <w:color w:val="000000" w:themeColor="text1"/>
          <w:sz w:val="24"/>
        </w:rPr>
      </w:pPr>
      <w:r w:rsidRPr="00C7480C">
        <w:rPr>
          <w:rFonts w:asciiTheme="majorHAnsi" w:eastAsia="Arial" w:hAnsiTheme="majorHAnsi" w:cstheme="majorBidi"/>
          <w:b/>
          <w:bCs/>
          <w:color w:val="000000" w:themeColor="text1"/>
          <w:sz w:val="24"/>
        </w:rPr>
        <w:lastRenderedPageBreak/>
        <w:t>Option 3c: Mandatory fortification of all non-organic wheat flour</w:t>
      </w:r>
    </w:p>
    <w:p w14:paraId="4576ABA8" w14:textId="688A66D9" w:rsidR="00C7480C" w:rsidRPr="00C7480C" w:rsidRDefault="00C7480C" w:rsidP="00A83899">
      <w:pPr>
        <w:spacing w:after="240"/>
        <w:rPr>
          <w:rFonts w:ascii="Arial" w:hAnsi="Arial" w:cs="Arial"/>
          <w:sz w:val="20"/>
        </w:rPr>
      </w:pPr>
      <w:r>
        <w:rPr>
          <w:rFonts w:ascii="Arial" w:hAnsi="Arial" w:cs="Arial"/>
          <w:sz w:val="20"/>
        </w:rPr>
        <w:t>O</w:t>
      </w:r>
      <w:r w:rsidRPr="00C7480C">
        <w:rPr>
          <w:rFonts w:ascii="Arial" w:hAnsi="Arial" w:cs="Arial"/>
          <w:sz w:val="20"/>
        </w:rPr>
        <w:t>ption</w:t>
      </w:r>
      <w:r>
        <w:rPr>
          <w:rFonts w:ascii="Arial" w:hAnsi="Arial" w:cs="Arial"/>
          <w:sz w:val="20"/>
        </w:rPr>
        <w:t xml:space="preserve"> 3c</w:t>
      </w:r>
      <w:r w:rsidRPr="00C7480C">
        <w:rPr>
          <w:rFonts w:ascii="Arial" w:hAnsi="Arial" w:cs="Arial"/>
          <w:sz w:val="20"/>
        </w:rPr>
        <w:t xml:space="preserve"> </w:t>
      </w:r>
      <w:r w:rsidR="00A83899">
        <w:rPr>
          <w:rFonts w:ascii="Arial" w:hAnsi="Arial" w:cs="Arial"/>
          <w:sz w:val="20"/>
        </w:rPr>
        <w:t xml:space="preserve">would require </w:t>
      </w:r>
      <w:r w:rsidRPr="00C7480C">
        <w:rPr>
          <w:rFonts w:ascii="Arial" w:hAnsi="Arial" w:cs="Arial"/>
          <w:sz w:val="20"/>
        </w:rPr>
        <w:t xml:space="preserve">the fortification of all non-organic wheat flour, whether milled in New Zealand or imported from overseas. </w:t>
      </w:r>
    </w:p>
    <w:p w14:paraId="12D48272" w14:textId="77777777" w:rsidR="003E541D" w:rsidRDefault="003E541D" w:rsidP="00C7480C">
      <w:pPr>
        <w:rPr>
          <w:rFonts w:ascii="Arial" w:hAnsi="Arial" w:cs="Arial"/>
          <w:sz w:val="20"/>
        </w:rPr>
      </w:pPr>
      <w:r w:rsidRPr="003E541D">
        <w:rPr>
          <w:rFonts w:ascii="Arial" w:hAnsi="Arial" w:cs="Arial"/>
          <w:sz w:val="20"/>
        </w:rPr>
        <w:t xml:space="preserve">The Australia New Zealand Food Standards Code would continue to permit the voluntary fortification of folic acid in other specified foods (such as breakfast cereals). </w:t>
      </w:r>
    </w:p>
    <w:p w14:paraId="48BD7F24" w14:textId="7D9D1026" w:rsidR="00C7480C" w:rsidRPr="00C7480C" w:rsidRDefault="00C7480C" w:rsidP="00C7480C">
      <w:pPr>
        <w:rPr>
          <w:rFonts w:ascii="Arial" w:hAnsi="Arial" w:cs="Arial"/>
          <w:sz w:val="20"/>
        </w:rPr>
      </w:pPr>
      <w:r>
        <w:rPr>
          <w:rFonts w:ascii="Arial" w:hAnsi="Arial" w:cs="Arial"/>
          <w:sz w:val="20"/>
        </w:rPr>
        <w:t>MPI has assessed option 3c against the criteria for health impacts, cost effectiveness, equity, consumer choic</w:t>
      </w:r>
      <w:r w:rsidR="00CB4D72">
        <w:rPr>
          <w:rFonts w:ascii="Arial" w:hAnsi="Arial" w:cs="Arial"/>
          <w:sz w:val="20"/>
        </w:rPr>
        <w:t>e, and other impacts on pages 35</w:t>
      </w:r>
      <w:r>
        <w:rPr>
          <w:rFonts w:ascii="Arial" w:hAnsi="Arial" w:cs="Arial"/>
          <w:sz w:val="20"/>
        </w:rPr>
        <w:t xml:space="preserve"> – 3</w:t>
      </w:r>
      <w:r w:rsidR="00CB4D72">
        <w:rPr>
          <w:rFonts w:ascii="Arial" w:hAnsi="Arial" w:cs="Arial"/>
          <w:sz w:val="20"/>
        </w:rPr>
        <w:t>9</w:t>
      </w:r>
      <w:r w:rsidR="00C222BA">
        <w:rPr>
          <w:rFonts w:ascii="Arial" w:hAnsi="Arial" w:cs="Arial"/>
          <w:sz w:val="20"/>
        </w:rPr>
        <w:t xml:space="preserve"> in the discussion paper</w:t>
      </w:r>
      <w:r>
        <w:rPr>
          <w:rFonts w:ascii="Arial" w:hAnsi="Arial" w:cs="Arial"/>
          <w:sz w:val="20"/>
        </w:rPr>
        <w:t xml:space="preserve">. </w:t>
      </w:r>
    </w:p>
    <w:p w14:paraId="514A41D0" w14:textId="36CC103F" w:rsidR="00C7480C" w:rsidRPr="00C7480C" w:rsidRDefault="00C7480C" w:rsidP="00C7480C">
      <w:pPr>
        <w:pStyle w:val="ListParagraph"/>
        <w:numPr>
          <w:ilvl w:val="0"/>
          <w:numId w:val="43"/>
        </w:numPr>
        <w:rPr>
          <w:rFonts w:ascii="Arial" w:hAnsi="Arial" w:cs="Arial"/>
          <w:b/>
          <w:sz w:val="20"/>
        </w:rPr>
      </w:pPr>
      <w:r w:rsidRPr="00C7480C">
        <w:rPr>
          <w:rFonts w:ascii="Arial" w:hAnsi="Arial" w:cs="Arial"/>
          <w:b/>
          <w:sz w:val="20"/>
        </w:rPr>
        <w:t>DO YOU AGREE WITH THE ASSESSMENT OF MANDATORY FOLIC ACID FORTIFICATION OF NON-ORGANIC WHEAT FLOUR AGAINST THE CRITERIA AND LIKELY IMPACTS?</w:t>
      </w:r>
    </w:p>
    <w:p w14:paraId="7AA4CBBC" w14:textId="08FD9430" w:rsidR="00C7480C" w:rsidRPr="00C7480C" w:rsidRDefault="00647DFA" w:rsidP="00C7480C">
      <w:pPr>
        <w:spacing w:after="0"/>
        <w:rPr>
          <w:rFonts w:ascii="Arial" w:hAnsi="Arial" w:cs="Arial"/>
          <w:sz w:val="20"/>
          <w:szCs w:val="20"/>
        </w:rPr>
      </w:pPr>
      <w:sdt>
        <w:sdtPr>
          <w:rPr>
            <w:rFonts w:ascii="Arial" w:hAnsi="Arial" w:cs="Arial"/>
            <w:sz w:val="20"/>
            <w:szCs w:val="20"/>
          </w:rPr>
          <w:id w:val="-288126147"/>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C7480C" w:rsidRPr="00C7480C">
        <w:rPr>
          <w:rFonts w:ascii="Arial" w:hAnsi="Arial" w:cs="Arial"/>
          <w:sz w:val="20"/>
          <w:szCs w:val="20"/>
        </w:rPr>
        <w:t xml:space="preserve"> Agree.</w:t>
      </w:r>
    </w:p>
    <w:p w14:paraId="1F28E8A7" w14:textId="77777777" w:rsidR="00C7480C" w:rsidRPr="00C7480C" w:rsidRDefault="00647DFA" w:rsidP="00C7480C">
      <w:pPr>
        <w:spacing w:after="0"/>
        <w:rPr>
          <w:rFonts w:ascii="Arial" w:hAnsi="Arial" w:cs="Arial"/>
          <w:sz w:val="20"/>
          <w:szCs w:val="20"/>
        </w:rPr>
      </w:pPr>
      <w:sdt>
        <w:sdtPr>
          <w:rPr>
            <w:rFonts w:ascii="Arial" w:hAnsi="Arial" w:cs="Arial"/>
            <w:sz w:val="20"/>
            <w:szCs w:val="20"/>
          </w:rPr>
          <w:id w:val="246161344"/>
          <w14:checkbox>
            <w14:checked w14:val="0"/>
            <w14:checkedState w14:val="2612" w14:font="MS Gothic"/>
            <w14:uncheckedState w14:val="2610" w14:font="MS Gothic"/>
          </w14:checkbox>
        </w:sdtPr>
        <w:sdtEndPr/>
        <w:sdtContent>
          <w:r w:rsidR="00C7480C" w:rsidRPr="00C7480C">
            <w:rPr>
              <w:rFonts w:ascii="Segoe UI Symbol" w:hAnsi="Segoe UI Symbol" w:cs="Segoe UI Symbol"/>
              <w:sz w:val="20"/>
              <w:szCs w:val="20"/>
            </w:rPr>
            <w:t>☐</w:t>
          </w:r>
        </w:sdtContent>
      </w:sdt>
      <w:r w:rsidR="00C7480C" w:rsidRPr="00C7480C">
        <w:rPr>
          <w:rFonts w:ascii="Arial" w:hAnsi="Arial" w:cs="Arial"/>
          <w:sz w:val="20"/>
          <w:szCs w:val="20"/>
        </w:rPr>
        <w:t xml:space="preserve"> Disagree.</w:t>
      </w:r>
    </w:p>
    <w:p w14:paraId="7F722428" w14:textId="77777777" w:rsidR="00C7480C" w:rsidRPr="00C7480C" w:rsidRDefault="00647DFA" w:rsidP="00C7480C">
      <w:pPr>
        <w:spacing w:after="0"/>
        <w:rPr>
          <w:rFonts w:ascii="Arial" w:hAnsi="Arial" w:cs="Arial"/>
          <w:sz w:val="20"/>
          <w:szCs w:val="20"/>
        </w:rPr>
      </w:pPr>
      <w:sdt>
        <w:sdtPr>
          <w:rPr>
            <w:rFonts w:ascii="Arial" w:hAnsi="Arial" w:cs="Arial"/>
            <w:sz w:val="20"/>
            <w:szCs w:val="20"/>
          </w:rPr>
          <w:id w:val="1762027173"/>
          <w14:checkbox>
            <w14:checked w14:val="0"/>
            <w14:checkedState w14:val="2612" w14:font="MS Gothic"/>
            <w14:uncheckedState w14:val="2610" w14:font="MS Gothic"/>
          </w14:checkbox>
        </w:sdtPr>
        <w:sdtEndPr/>
        <w:sdtContent>
          <w:r w:rsidR="00C7480C" w:rsidRPr="00C7480C">
            <w:rPr>
              <w:rFonts w:ascii="Segoe UI Symbol" w:hAnsi="Segoe UI Symbol" w:cs="Segoe UI Symbol"/>
              <w:sz w:val="20"/>
              <w:szCs w:val="20"/>
            </w:rPr>
            <w:t>☐</w:t>
          </w:r>
        </w:sdtContent>
      </w:sdt>
      <w:r w:rsidR="00C7480C" w:rsidRPr="00C7480C">
        <w:rPr>
          <w:rFonts w:ascii="Arial" w:hAnsi="Arial" w:cs="Arial"/>
          <w:sz w:val="20"/>
          <w:szCs w:val="20"/>
        </w:rPr>
        <w:t xml:space="preserve"> Unsure.</w:t>
      </w:r>
    </w:p>
    <w:p w14:paraId="58E21C66" w14:textId="77777777" w:rsidR="00C7480C" w:rsidRPr="00C7480C" w:rsidRDefault="00C7480C" w:rsidP="00C7480C">
      <w:pPr>
        <w:spacing w:after="0"/>
        <w:rPr>
          <w:rFonts w:ascii="Arial" w:hAnsi="Arial" w:cs="Arial"/>
          <w:sz w:val="20"/>
          <w:szCs w:val="20"/>
        </w:rPr>
      </w:pPr>
    </w:p>
    <w:p w14:paraId="75685748" w14:textId="22C561D8" w:rsidR="00C7480C" w:rsidRPr="00C7480C" w:rsidRDefault="00C7480C" w:rsidP="00C7480C">
      <w:pPr>
        <w:spacing w:after="0"/>
        <w:rPr>
          <w:rFonts w:ascii="Arial" w:hAnsi="Arial" w:cs="Arial"/>
          <w:sz w:val="20"/>
          <w:szCs w:val="20"/>
        </w:rPr>
      </w:pPr>
      <w:r w:rsidRPr="00C7480C">
        <w:rPr>
          <w:rFonts w:ascii="Arial" w:hAnsi="Arial" w:cs="Arial"/>
          <w:sz w:val="20"/>
          <w:szCs w:val="20"/>
        </w:rPr>
        <w:t>Please explain why</w:t>
      </w:r>
      <w:r w:rsidR="00A83899">
        <w:rPr>
          <w:rFonts w:ascii="Arial" w:hAnsi="Arial" w:cs="Arial"/>
          <w:sz w:val="20"/>
          <w:szCs w:val="20"/>
        </w:rPr>
        <w:t xml:space="preserve"> and provide any evidence you may have</w:t>
      </w:r>
      <w:r w:rsidRPr="00C7480C">
        <w:rPr>
          <w:rFonts w:ascii="Arial" w:hAnsi="Arial" w:cs="Arial"/>
          <w:sz w:val="20"/>
          <w:szCs w:val="20"/>
        </w:rPr>
        <w:t>:</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C7480C" w:rsidRPr="00C7480C" w14:paraId="426B8CA5" w14:textId="77777777" w:rsidTr="00FA22E8">
        <w:trPr>
          <w:cantSplit/>
        </w:trPr>
        <w:tc>
          <w:tcPr>
            <w:tcW w:w="9176" w:type="dxa"/>
            <w:tcBorders>
              <w:bottom w:val="single" w:sz="24" w:space="0" w:color="FFFFFF"/>
            </w:tcBorders>
            <w:shd w:val="clear" w:color="auto" w:fill="E6E6E6"/>
          </w:tcPr>
          <w:p w14:paraId="272B1FA4" w14:textId="77777777" w:rsidR="009F1AD9" w:rsidRPr="00891685" w:rsidRDefault="009F1AD9" w:rsidP="009F1AD9">
            <w:pPr>
              <w:spacing w:after="160" w:line="259" w:lineRule="auto"/>
              <w:rPr>
                <w:rFonts w:ascii="Arial" w:hAnsi="Arial" w:cs="Arial"/>
                <w:sz w:val="20"/>
              </w:rPr>
            </w:pPr>
            <w:r w:rsidRPr="00891685">
              <w:rPr>
                <w:rFonts w:ascii="Arial" w:hAnsi="Arial" w:cs="Arial"/>
                <w:sz w:val="20"/>
              </w:rPr>
              <w:t>We agree with the assessment but support mandatory folic acid fortification Option 3b based on the</w:t>
            </w:r>
            <w:r>
              <w:rPr>
                <w:rStyle w:val="apple-converted-space"/>
                <w:rFonts w:ascii="Arial" w:hAnsi="Arial" w:cs="Arial"/>
                <w:sz w:val="20"/>
              </w:rPr>
              <w:t xml:space="preserve"> </w:t>
            </w:r>
            <w:r w:rsidRPr="00891685">
              <w:rPr>
                <w:rFonts w:ascii="Arial" w:hAnsi="Arial" w:cs="Arial"/>
                <w:sz w:val="20"/>
              </w:rPr>
              <w:t>lower number of young children exposed to levels of folic acid above the upper limit</w:t>
            </w:r>
          </w:p>
          <w:p w14:paraId="20D910F0" w14:textId="3D73CC9D" w:rsidR="00C7480C" w:rsidRPr="00C7480C" w:rsidRDefault="009F1AD9" w:rsidP="00C7480C">
            <w:pPr>
              <w:spacing w:after="0"/>
              <w:rPr>
                <w:rFonts w:ascii="Arial" w:hAnsi="Arial" w:cs="Arial"/>
                <w:sz w:val="20"/>
                <w:szCs w:val="20"/>
              </w:rPr>
            </w:pPr>
            <w:r w:rsidRPr="00891685">
              <w:rPr>
                <w:rFonts w:ascii="Arial" w:hAnsi="Arial" w:cs="Arial"/>
                <w:sz w:val="20"/>
                <w:szCs w:val="20"/>
              </w:rPr>
              <w:t>Despite the better health improvements and equity of health outcomes this option would bring, the high cost of implementation and limitations for consumers to opt out make this choice less desirable than option b.</w:t>
            </w:r>
          </w:p>
        </w:tc>
      </w:tr>
    </w:tbl>
    <w:p w14:paraId="0EA0A41D" w14:textId="4A2F3C15" w:rsidR="00C7480C" w:rsidRDefault="00C7480C">
      <w:pPr>
        <w:rPr>
          <w:rFonts w:ascii="Arial" w:hAnsi="Arial" w:cs="Arial"/>
          <w:b/>
          <w:bCs/>
          <w:sz w:val="20"/>
          <w:szCs w:val="20"/>
        </w:rPr>
      </w:pPr>
      <w:r>
        <w:rPr>
          <w:rFonts w:ascii="Arial" w:hAnsi="Arial" w:cs="Arial"/>
          <w:b/>
          <w:bCs/>
          <w:sz w:val="20"/>
          <w:szCs w:val="20"/>
        </w:rPr>
        <w:br w:type="page"/>
      </w:r>
    </w:p>
    <w:p w14:paraId="10F4E08B" w14:textId="32955DB0" w:rsidR="00C7480C" w:rsidRDefault="00C7480C" w:rsidP="00C7480C">
      <w:pPr>
        <w:spacing w:after="240"/>
        <w:rPr>
          <w:rFonts w:asciiTheme="majorHAnsi" w:eastAsia="Arial" w:hAnsiTheme="majorHAnsi" w:cstheme="majorBidi"/>
          <w:b/>
          <w:bCs/>
          <w:color w:val="000000" w:themeColor="text1"/>
          <w:sz w:val="24"/>
        </w:rPr>
      </w:pPr>
      <w:r>
        <w:rPr>
          <w:rFonts w:asciiTheme="majorHAnsi" w:eastAsia="Arial" w:hAnsiTheme="majorHAnsi" w:cstheme="majorBidi"/>
          <w:b/>
          <w:bCs/>
          <w:color w:val="000000" w:themeColor="text1"/>
          <w:sz w:val="24"/>
        </w:rPr>
        <w:lastRenderedPageBreak/>
        <w:t>Implementation</w:t>
      </w:r>
    </w:p>
    <w:p w14:paraId="75300146" w14:textId="09277C33" w:rsidR="00C7480C" w:rsidRPr="00C222BA" w:rsidRDefault="00C7480C" w:rsidP="00C7480C">
      <w:pPr>
        <w:spacing w:after="240"/>
        <w:rPr>
          <w:rFonts w:ascii="Arial" w:eastAsia="Arial" w:hAnsi="Arial" w:cs="Arial"/>
          <w:bCs/>
          <w:color w:val="000000" w:themeColor="text1"/>
          <w:sz w:val="20"/>
        </w:rPr>
      </w:pPr>
      <w:r w:rsidRPr="00C222BA">
        <w:rPr>
          <w:rFonts w:ascii="Arial" w:eastAsia="Arial" w:hAnsi="Arial" w:cs="Arial"/>
          <w:bCs/>
          <w:color w:val="000000" w:themeColor="text1"/>
          <w:sz w:val="20"/>
        </w:rPr>
        <w:t>MPI provides information on the proposed approaches to implementation for the three options</w:t>
      </w:r>
      <w:r w:rsidR="00C05A54">
        <w:rPr>
          <w:rFonts w:ascii="Arial" w:eastAsia="Arial" w:hAnsi="Arial" w:cs="Arial"/>
          <w:bCs/>
          <w:color w:val="000000" w:themeColor="text1"/>
          <w:sz w:val="20"/>
        </w:rPr>
        <w:t xml:space="preserve"> presented</w:t>
      </w:r>
      <w:r w:rsidRPr="00C222BA">
        <w:rPr>
          <w:rFonts w:ascii="Arial" w:eastAsia="Arial" w:hAnsi="Arial" w:cs="Arial"/>
          <w:bCs/>
          <w:color w:val="000000" w:themeColor="text1"/>
          <w:sz w:val="20"/>
        </w:rPr>
        <w:t xml:space="preserve"> </w:t>
      </w:r>
      <w:r w:rsidR="007444E2">
        <w:rPr>
          <w:rFonts w:ascii="Arial" w:eastAsia="Arial" w:hAnsi="Arial" w:cs="Arial"/>
          <w:bCs/>
          <w:color w:val="000000" w:themeColor="text1"/>
          <w:sz w:val="20"/>
        </w:rPr>
        <w:t>on pages 40</w:t>
      </w:r>
      <w:r w:rsidRPr="00C222BA">
        <w:rPr>
          <w:rFonts w:ascii="Arial" w:eastAsia="Arial" w:hAnsi="Arial" w:cs="Arial"/>
          <w:bCs/>
          <w:color w:val="000000" w:themeColor="text1"/>
          <w:sz w:val="20"/>
        </w:rPr>
        <w:t xml:space="preserve"> </w:t>
      </w:r>
      <w:r w:rsidR="00C222BA" w:rsidRPr="00C222BA">
        <w:rPr>
          <w:rFonts w:ascii="Arial" w:eastAsia="Arial" w:hAnsi="Arial" w:cs="Arial"/>
          <w:bCs/>
          <w:color w:val="000000" w:themeColor="text1"/>
          <w:sz w:val="20"/>
        </w:rPr>
        <w:t>–</w:t>
      </w:r>
      <w:r w:rsidRPr="00C222BA">
        <w:rPr>
          <w:rFonts w:ascii="Arial" w:eastAsia="Arial" w:hAnsi="Arial" w:cs="Arial"/>
          <w:bCs/>
          <w:color w:val="000000" w:themeColor="text1"/>
          <w:sz w:val="20"/>
        </w:rPr>
        <w:t xml:space="preserve"> 43</w:t>
      </w:r>
      <w:r w:rsidR="005B3788" w:rsidRPr="005B3788">
        <w:rPr>
          <w:rFonts w:ascii="Arial" w:eastAsia="Arial" w:hAnsi="Arial" w:cs="Arial"/>
          <w:bCs/>
          <w:color w:val="000000" w:themeColor="text1"/>
          <w:sz w:val="20"/>
        </w:rPr>
        <w:t xml:space="preserve"> </w:t>
      </w:r>
      <w:r w:rsidR="005B3788" w:rsidRPr="00C222BA">
        <w:rPr>
          <w:rFonts w:ascii="Arial" w:eastAsia="Arial" w:hAnsi="Arial" w:cs="Arial"/>
          <w:bCs/>
          <w:color w:val="000000" w:themeColor="text1"/>
          <w:sz w:val="20"/>
        </w:rPr>
        <w:t>in the discussio</w:t>
      </w:r>
      <w:r w:rsidR="005B3788">
        <w:rPr>
          <w:rFonts w:ascii="Arial" w:eastAsia="Arial" w:hAnsi="Arial" w:cs="Arial"/>
          <w:bCs/>
          <w:color w:val="000000" w:themeColor="text1"/>
          <w:sz w:val="20"/>
        </w:rPr>
        <w:t>n paper</w:t>
      </w:r>
      <w:r w:rsidR="00C222BA" w:rsidRPr="00C222BA">
        <w:rPr>
          <w:rFonts w:ascii="Arial" w:eastAsia="Arial" w:hAnsi="Arial" w:cs="Arial"/>
          <w:bCs/>
          <w:color w:val="000000" w:themeColor="text1"/>
          <w:sz w:val="20"/>
        </w:rPr>
        <w:t>.</w:t>
      </w:r>
    </w:p>
    <w:p w14:paraId="1120CE05" w14:textId="24688479" w:rsidR="00C7480C" w:rsidRPr="009F1AD9" w:rsidRDefault="00C7480C" w:rsidP="009F1AD9">
      <w:pPr>
        <w:pStyle w:val="ListParagraph"/>
        <w:numPr>
          <w:ilvl w:val="0"/>
          <w:numId w:val="43"/>
        </w:numPr>
        <w:spacing w:after="240"/>
        <w:rPr>
          <w:rFonts w:ascii="Arial" w:eastAsia="Arial" w:hAnsi="Arial" w:cs="Arial"/>
          <w:b/>
          <w:bCs/>
          <w:color w:val="000000" w:themeColor="text1"/>
          <w:sz w:val="20"/>
        </w:rPr>
      </w:pPr>
      <w:r w:rsidRPr="00C7480C">
        <w:rPr>
          <w:rFonts w:ascii="Arial" w:eastAsia="Arial" w:hAnsi="Arial" w:cs="Arial"/>
          <w:b/>
          <w:bCs/>
          <w:color w:val="000000" w:themeColor="text1"/>
          <w:sz w:val="20"/>
        </w:rPr>
        <w:t>DO YOU AGREE WITH THE APPROACH TO IMPLEMENTATION?</w:t>
      </w:r>
    </w:p>
    <w:p w14:paraId="236699DA" w14:textId="18FD6F65" w:rsidR="00C222BA" w:rsidRPr="00C222BA" w:rsidRDefault="00647DFA" w:rsidP="00C222BA">
      <w:pPr>
        <w:spacing w:after="0"/>
        <w:rPr>
          <w:rFonts w:ascii="Arial" w:hAnsi="Arial" w:cs="Arial"/>
          <w:sz w:val="20"/>
          <w:szCs w:val="20"/>
        </w:rPr>
      </w:pPr>
      <w:sdt>
        <w:sdtPr>
          <w:rPr>
            <w:rFonts w:ascii="Arial" w:hAnsi="Arial" w:cs="Arial"/>
            <w:sz w:val="20"/>
            <w:szCs w:val="20"/>
          </w:rPr>
          <w:id w:val="2113697553"/>
          <w14:checkbox>
            <w14:checked w14:val="1"/>
            <w14:checkedState w14:val="2612" w14:font="MS Gothic"/>
            <w14:uncheckedState w14:val="2610" w14:font="MS Gothic"/>
          </w14:checkbox>
        </w:sdtPr>
        <w:sdtEndPr/>
        <w:sdtContent>
          <w:r w:rsidR="009F1AD9">
            <w:rPr>
              <w:rFonts w:ascii="MS Gothic" w:eastAsia="MS Gothic" w:hAnsi="MS Gothic" w:cs="Arial" w:hint="eastAsia"/>
              <w:sz w:val="20"/>
              <w:szCs w:val="20"/>
            </w:rPr>
            <w:t>☒</w:t>
          </w:r>
        </w:sdtContent>
      </w:sdt>
      <w:r w:rsidR="00C222BA" w:rsidRPr="00C222BA">
        <w:rPr>
          <w:rFonts w:ascii="Arial" w:hAnsi="Arial" w:cs="Arial"/>
          <w:sz w:val="20"/>
          <w:szCs w:val="20"/>
        </w:rPr>
        <w:t xml:space="preserve"> Agree.</w:t>
      </w:r>
    </w:p>
    <w:p w14:paraId="322910F8" w14:textId="77777777" w:rsidR="00C222BA" w:rsidRPr="00C222BA" w:rsidRDefault="00647DFA" w:rsidP="00C222BA">
      <w:pPr>
        <w:spacing w:after="0"/>
        <w:rPr>
          <w:rFonts w:ascii="Arial" w:hAnsi="Arial" w:cs="Arial"/>
          <w:sz w:val="20"/>
          <w:szCs w:val="20"/>
        </w:rPr>
      </w:pPr>
      <w:sdt>
        <w:sdtPr>
          <w:rPr>
            <w:rFonts w:ascii="Arial" w:hAnsi="Arial" w:cs="Arial"/>
            <w:sz w:val="20"/>
            <w:szCs w:val="20"/>
          </w:rPr>
          <w:id w:val="297422167"/>
          <w14:checkbox>
            <w14:checked w14:val="0"/>
            <w14:checkedState w14:val="2612" w14:font="MS Gothic"/>
            <w14:uncheckedState w14:val="2610" w14:font="MS Gothic"/>
          </w14:checkbox>
        </w:sdtPr>
        <w:sdtEndPr/>
        <w:sdtContent>
          <w:r w:rsidR="00C222BA" w:rsidRPr="00C222BA">
            <w:rPr>
              <w:rFonts w:ascii="Segoe UI Symbol" w:hAnsi="Segoe UI Symbol" w:cs="Segoe UI Symbol"/>
              <w:sz w:val="20"/>
              <w:szCs w:val="20"/>
            </w:rPr>
            <w:t>☐</w:t>
          </w:r>
        </w:sdtContent>
      </w:sdt>
      <w:r w:rsidR="00C222BA" w:rsidRPr="00C222BA">
        <w:rPr>
          <w:rFonts w:ascii="Arial" w:hAnsi="Arial" w:cs="Arial"/>
          <w:sz w:val="20"/>
          <w:szCs w:val="20"/>
        </w:rPr>
        <w:t xml:space="preserve"> Disagree.</w:t>
      </w:r>
    </w:p>
    <w:p w14:paraId="6C7CCC96" w14:textId="77777777" w:rsidR="00C222BA" w:rsidRPr="00C222BA" w:rsidRDefault="00647DFA" w:rsidP="00C222BA">
      <w:pPr>
        <w:spacing w:after="0"/>
        <w:rPr>
          <w:rFonts w:ascii="Arial" w:hAnsi="Arial" w:cs="Arial"/>
          <w:sz w:val="20"/>
          <w:szCs w:val="20"/>
        </w:rPr>
      </w:pPr>
      <w:sdt>
        <w:sdtPr>
          <w:rPr>
            <w:rFonts w:ascii="Arial" w:hAnsi="Arial" w:cs="Arial"/>
            <w:sz w:val="20"/>
            <w:szCs w:val="20"/>
          </w:rPr>
          <w:id w:val="1698045094"/>
          <w14:checkbox>
            <w14:checked w14:val="0"/>
            <w14:checkedState w14:val="2612" w14:font="MS Gothic"/>
            <w14:uncheckedState w14:val="2610" w14:font="MS Gothic"/>
          </w14:checkbox>
        </w:sdtPr>
        <w:sdtEndPr/>
        <w:sdtContent>
          <w:r w:rsidR="00C222BA" w:rsidRPr="00C222BA">
            <w:rPr>
              <w:rFonts w:ascii="Segoe UI Symbol" w:hAnsi="Segoe UI Symbol" w:cs="Segoe UI Symbol"/>
              <w:sz w:val="20"/>
              <w:szCs w:val="20"/>
            </w:rPr>
            <w:t>☐</w:t>
          </w:r>
        </w:sdtContent>
      </w:sdt>
      <w:r w:rsidR="00C222BA" w:rsidRPr="00C222BA">
        <w:rPr>
          <w:rFonts w:ascii="Arial" w:hAnsi="Arial" w:cs="Arial"/>
          <w:sz w:val="20"/>
          <w:szCs w:val="20"/>
        </w:rPr>
        <w:t xml:space="preserve"> Unsure.</w:t>
      </w:r>
    </w:p>
    <w:p w14:paraId="1AD07E8F" w14:textId="77777777" w:rsidR="000B1038" w:rsidRDefault="000B1038" w:rsidP="5D22F74A">
      <w:pPr>
        <w:spacing w:after="0"/>
        <w:rPr>
          <w:rFonts w:ascii="Arial" w:hAnsi="Arial" w:cs="Arial"/>
          <w:sz w:val="20"/>
          <w:szCs w:val="20"/>
        </w:rPr>
      </w:pPr>
    </w:p>
    <w:p w14:paraId="0E193610" w14:textId="18604526" w:rsidR="00C222BA" w:rsidRPr="00C7480C" w:rsidRDefault="00C222BA" w:rsidP="00C222BA">
      <w:pPr>
        <w:spacing w:after="0"/>
        <w:rPr>
          <w:rFonts w:ascii="Arial" w:hAnsi="Arial" w:cs="Arial"/>
          <w:sz w:val="20"/>
          <w:szCs w:val="20"/>
        </w:rPr>
      </w:pPr>
      <w:r>
        <w:rPr>
          <w:rFonts w:ascii="Arial" w:hAnsi="Arial" w:cs="Arial"/>
          <w:sz w:val="20"/>
          <w:szCs w:val="20"/>
        </w:rPr>
        <w:t>Please explain why</w:t>
      </w:r>
      <w:r w:rsidR="00740154">
        <w:rPr>
          <w:rFonts w:ascii="Arial" w:hAnsi="Arial" w:cs="Arial"/>
          <w:sz w:val="20"/>
          <w:szCs w:val="20"/>
        </w:rPr>
        <w:t xml:space="preserve"> and provide any evidence you may have</w:t>
      </w:r>
      <w:r>
        <w:rPr>
          <w:rFonts w:ascii="Arial" w:hAnsi="Arial" w:cs="Arial"/>
          <w:sz w:val="20"/>
          <w:szCs w:val="20"/>
        </w:rPr>
        <w:t xml:space="preserve">. </w:t>
      </w:r>
      <w:r w:rsidRPr="00C222BA">
        <w:rPr>
          <w:rFonts w:ascii="Arial" w:hAnsi="Arial" w:cs="Arial"/>
          <w:color w:val="000000" w:themeColor="text1"/>
          <w:sz w:val="20"/>
        </w:rPr>
        <w:t>Note: if you are one of the business</w:t>
      </w:r>
      <w:r w:rsidR="00414DC1">
        <w:rPr>
          <w:rFonts w:ascii="Arial" w:hAnsi="Arial" w:cs="Arial"/>
          <w:color w:val="000000" w:themeColor="text1"/>
          <w:sz w:val="20"/>
        </w:rPr>
        <w:t>es</w:t>
      </w:r>
      <w:r w:rsidRPr="00C222BA">
        <w:rPr>
          <w:rFonts w:ascii="Arial" w:hAnsi="Arial" w:cs="Arial"/>
          <w:color w:val="000000" w:themeColor="text1"/>
          <w:sz w:val="20"/>
        </w:rPr>
        <w:t xml:space="preserve"> that could be affected, what do you estimate th</w:t>
      </w:r>
      <w:r w:rsidR="00693B45">
        <w:rPr>
          <w:rFonts w:ascii="Arial" w:hAnsi="Arial" w:cs="Arial"/>
          <w:color w:val="000000" w:themeColor="text1"/>
          <w:sz w:val="20"/>
        </w:rPr>
        <w:t>e increased costs to</w:t>
      </w:r>
      <w:r w:rsidR="00740154">
        <w:rPr>
          <w:rFonts w:ascii="Arial" w:hAnsi="Arial" w:cs="Arial"/>
          <w:color w:val="000000" w:themeColor="text1"/>
          <w:sz w:val="20"/>
        </w:rPr>
        <w:t xml:space="preserve"> be? </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C222BA" w:rsidRPr="00C7480C" w14:paraId="0B709A46" w14:textId="77777777" w:rsidTr="00FA22E8">
        <w:trPr>
          <w:cantSplit/>
        </w:trPr>
        <w:tc>
          <w:tcPr>
            <w:tcW w:w="9176" w:type="dxa"/>
            <w:tcBorders>
              <w:bottom w:val="single" w:sz="24" w:space="0" w:color="FFFFFF"/>
            </w:tcBorders>
            <w:shd w:val="clear" w:color="auto" w:fill="E6E6E6"/>
          </w:tcPr>
          <w:p w14:paraId="7B6C7926" w14:textId="1391DC7E" w:rsidR="00C222BA" w:rsidRPr="009F1AD9" w:rsidRDefault="009F1AD9" w:rsidP="009F1AD9">
            <w:pPr>
              <w:spacing w:after="160" w:line="259" w:lineRule="auto"/>
              <w:rPr>
                <w:rFonts w:ascii="Arial" w:hAnsi="Arial" w:cs="Arial"/>
                <w:sz w:val="20"/>
              </w:rPr>
            </w:pPr>
            <w:r w:rsidRPr="00891685">
              <w:rPr>
                <w:rFonts w:ascii="Arial" w:hAnsi="Arial" w:cs="Arial"/>
                <w:sz w:val="20"/>
              </w:rPr>
              <w:t>This is beyond the scope of our expertise but the</w:t>
            </w:r>
            <w:r>
              <w:rPr>
                <w:rFonts w:ascii="Arial" w:hAnsi="Arial" w:cs="Arial"/>
                <w:sz w:val="20"/>
              </w:rPr>
              <w:t xml:space="preserve"> </w:t>
            </w:r>
            <w:r w:rsidRPr="00891685">
              <w:rPr>
                <w:rFonts w:ascii="Arial" w:hAnsi="Arial" w:cs="Arial"/>
                <w:sz w:val="20"/>
              </w:rPr>
              <w:t>proposed approaches to implementation for the</w:t>
            </w:r>
            <w:r>
              <w:rPr>
                <w:rStyle w:val="apple-converted-space"/>
                <w:rFonts w:ascii="Arial" w:hAnsi="Arial" w:cs="Arial"/>
                <w:sz w:val="20"/>
              </w:rPr>
              <w:t xml:space="preserve"> </w:t>
            </w:r>
            <w:r w:rsidRPr="00891685">
              <w:rPr>
                <w:rFonts w:ascii="Arial" w:hAnsi="Arial" w:cs="Arial"/>
                <w:sz w:val="20"/>
              </w:rPr>
              <w:t>three options</w:t>
            </w:r>
            <w:r>
              <w:rPr>
                <w:rFonts w:ascii="Arial" w:hAnsi="Arial" w:cs="Arial"/>
                <w:sz w:val="20"/>
              </w:rPr>
              <w:t xml:space="preserve"> </w:t>
            </w:r>
            <w:r w:rsidRPr="00891685">
              <w:rPr>
                <w:rFonts w:ascii="Arial" w:hAnsi="Arial" w:cs="Arial"/>
                <w:sz w:val="20"/>
              </w:rPr>
              <w:t>presented on pages 40–43 in the discussion paper sounds reasonable. The food</w:t>
            </w:r>
            <w:r>
              <w:rPr>
                <w:rStyle w:val="apple-converted-space"/>
                <w:rFonts w:ascii="Arial" w:hAnsi="Arial" w:cs="Arial"/>
                <w:sz w:val="20"/>
              </w:rPr>
              <w:t xml:space="preserve"> </w:t>
            </w:r>
            <w:r w:rsidRPr="00891685">
              <w:rPr>
                <w:rFonts w:ascii="Arial" w:hAnsi="Arial" w:cs="Arial"/>
                <w:sz w:val="20"/>
              </w:rPr>
              <w:t xml:space="preserve">industry is better equipped to comment on this. </w:t>
            </w:r>
          </w:p>
        </w:tc>
      </w:tr>
    </w:tbl>
    <w:p w14:paraId="69DDC104" w14:textId="1CB0B7FC" w:rsidR="003463D7" w:rsidRPr="00C222BA" w:rsidRDefault="5D22F74A" w:rsidP="00884782">
      <w:pPr>
        <w:rPr>
          <w:rFonts w:asciiTheme="majorHAnsi" w:eastAsiaTheme="majorEastAsia" w:hAnsiTheme="majorHAnsi" w:cs="Arial"/>
          <w:b/>
          <w:bCs/>
          <w:sz w:val="24"/>
        </w:rPr>
      </w:pPr>
      <w:r w:rsidRPr="00C222BA">
        <w:rPr>
          <w:rFonts w:asciiTheme="majorHAnsi" w:hAnsiTheme="majorHAnsi" w:cs="Arial"/>
          <w:b/>
          <w:sz w:val="24"/>
        </w:rPr>
        <w:t>General comments</w:t>
      </w:r>
    </w:p>
    <w:p w14:paraId="47EB5857" w14:textId="7FEBE940" w:rsidR="00B32CBB" w:rsidRPr="009F1AD9" w:rsidRDefault="00C222BA" w:rsidP="00B32CBB">
      <w:pPr>
        <w:spacing w:after="0"/>
        <w:rPr>
          <w:rFonts w:ascii="Arial" w:hAnsi="Arial" w:cs="Arial"/>
          <w:sz w:val="20"/>
          <w:szCs w:val="20"/>
        </w:rPr>
      </w:pPr>
      <w:r>
        <w:rPr>
          <w:rFonts w:ascii="Arial" w:hAnsi="Arial" w:cs="Arial"/>
          <w:sz w:val="20"/>
          <w:szCs w:val="20"/>
        </w:rPr>
        <w:t>If you have any other</w:t>
      </w:r>
      <w:r w:rsidR="5D22F74A" w:rsidRPr="00B32CBB">
        <w:rPr>
          <w:rFonts w:ascii="Arial" w:hAnsi="Arial" w:cs="Arial"/>
          <w:sz w:val="20"/>
          <w:szCs w:val="20"/>
        </w:rPr>
        <w:t xml:space="preserve"> general comments or suggestions</w:t>
      </w:r>
      <w:r>
        <w:rPr>
          <w:rFonts w:ascii="Arial" w:hAnsi="Arial" w:cs="Arial"/>
          <w:sz w:val="20"/>
          <w:szCs w:val="20"/>
        </w:rPr>
        <w:t xml:space="preserve"> for the </w:t>
      </w:r>
      <w:r>
        <w:rPr>
          <w:rFonts w:ascii="Arial" w:hAnsi="Arial" w:cs="Arial"/>
          <w:i/>
          <w:sz w:val="20"/>
          <w:szCs w:val="20"/>
        </w:rPr>
        <w:t xml:space="preserve">Folic acid fortification: Increasing folic acid availability in food </w:t>
      </w:r>
      <w:r>
        <w:rPr>
          <w:rFonts w:ascii="Arial" w:hAnsi="Arial" w:cs="Arial"/>
          <w:sz w:val="20"/>
          <w:szCs w:val="20"/>
        </w:rPr>
        <w:t>discussion paper</w:t>
      </w:r>
      <w:r w:rsidR="5D22F74A" w:rsidRPr="00B32CBB">
        <w:rPr>
          <w:rFonts w:ascii="Arial" w:hAnsi="Arial" w:cs="Arial"/>
          <w:sz w:val="20"/>
          <w:szCs w:val="20"/>
        </w:rPr>
        <w:t>, please let us know.</w:t>
      </w:r>
    </w:p>
    <w:tbl>
      <w:tblPr>
        <w:tblW w:w="9176" w:type="dxa"/>
        <w:tblInd w:w="11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176"/>
      </w:tblGrid>
      <w:tr w:rsidR="00B32CBB" w:rsidRPr="00312439" w14:paraId="35C88650" w14:textId="77777777" w:rsidTr="00487100">
        <w:trPr>
          <w:cantSplit/>
          <w:trHeight w:val="3374"/>
        </w:trPr>
        <w:tc>
          <w:tcPr>
            <w:tcW w:w="9176" w:type="dxa"/>
            <w:tcBorders>
              <w:bottom w:val="single" w:sz="24" w:space="0" w:color="FFFFFF"/>
            </w:tcBorders>
            <w:shd w:val="clear" w:color="auto" w:fill="E6E6E6"/>
          </w:tcPr>
          <w:p w14:paraId="40A562FD" w14:textId="77777777" w:rsidR="009F1AD9" w:rsidRPr="00AF238C" w:rsidRDefault="009F1AD9" w:rsidP="009F1AD9">
            <w:pPr>
              <w:spacing w:after="160" w:line="259" w:lineRule="auto"/>
              <w:rPr>
                <w:rFonts w:ascii="Arial" w:hAnsi="Arial" w:cs="Arial"/>
                <w:sz w:val="20"/>
                <w:szCs w:val="20"/>
              </w:rPr>
            </w:pPr>
            <w:r w:rsidRPr="00AF238C">
              <w:rPr>
                <w:rFonts w:ascii="Arial" w:hAnsi="Arial" w:cs="Arial"/>
                <w:sz w:val="20"/>
                <w:szCs w:val="20"/>
              </w:rPr>
              <w:lastRenderedPageBreak/>
              <w:t>Folate is important for the normal function of healthy cells</w:t>
            </w:r>
            <w:r>
              <w:rPr>
                <w:rFonts w:ascii="Arial" w:hAnsi="Arial" w:cs="Arial"/>
                <w:sz w:val="20"/>
                <w:szCs w:val="20"/>
              </w:rPr>
              <w:t xml:space="preserve"> and</w:t>
            </w:r>
            <w:r w:rsidRPr="00AF238C">
              <w:rPr>
                <w:rFonts w:ascii="Arial" w:hAnsi="Arial" w:cs="Arial"/>
                <w:sz w:val="20"/>
                <w:szCs w:val="20"/>
              </w:rPr>
              <w:t xml:space="preserve"> fortification is an effective and equitable way to address low folate intake/levels in woman of childbearing age to reduce </w:t>
            </w:r>
            <w:r>
              <w:rPr>
                <w:rFonts w:ascii="Arial" w:hAnsi="Arial" w:cs="Arial"/>
                <w:sz w:val="20"/>
                <w:szCs w:val="20"/>
              </w:rPr>
              <w:t>NTDs</w:t>
            </w:r>
            <w:r w:rsidRPr="00AF238C">
              <w:rPr>
                <w:rFonts w:ascii="Arial" w:hAnsi="Arial" w:cs="Arial"/>
                <w:sz w:val="20"/>
                <w:szCs w:val="20"/>
              </w:rPr>
              <w:t xml:space="preserve">. </w:t>
            </w:r>
          </w:p>
          <w:p w14:paraId="23D34B78" w14:textId="77777777" w:rsidR="009F1AD9" w:rsidRPr="00AF238C" w:rsidRDefault="009F1AD9" w:rsidP="009F1AD9">
            <w:pPr>
              <w:spacing w:after="160" w:line="259" w:lineRule="auto"/>
              <w:rPr>
                <w:rFonts w:ascii="Arial" w:hAnsi="Arial" w:cs="Arial"/>
                <w:sz w:val="20"/>
                <w:szCs w:val="20"/>
              </w:rPr>
            </w:pPr>
            <w:r w:rsidRPr="00AF238C">
              <w:rPr>
                <w:rFonts w:ascii="Arial" w:hAnsi="Arial" w:cs="Arial"/>
                <w:sz w:val="20"/>
                <w:szCs w:val="20"/>
              </w:rPr>
              <w:t xml:space="preserve">Evidence </w:t>
            </w:r>
            <w:r>
              <w:rPr>
                <w:rFonts w:ascii="Arial" w:hAnsi="Arial" w:cs="Arial"/>
                <w:sz w:val="20"/>
                <w:szCs w:val="20"/>
              </w:rPr>
              <w:t>finds</w:t>
            </w:r>
            <w:r w:rsidRPr="00AF238C">
              <w:rPr>
                <w:rFonts w:ascii="Arial" w:hAnsi="Arial" w:cs="Arial"/>
                <w:sz w:val="20"/>
                <w:szCs w:val="20"/>
              </w:rPr>
              <w:t xml:space="preserve"> both a protective effect of high folate intake/levels for some cancers but also inconsistent adverse associations across different study types especially for</w:t>
            </w:r>
            <w:r w:rsidRPr="00AF238C">
              <w:rPr>
                <w:rFonts w:ascii="Arial" w:hAnsi="Arial" w:cs="Arial"/>
                <w:sz w:val="20"/>
                <w:szCs w:val="20"/>
                <w:lang w:val="en-AU"/>
              </w:rPr>
              <w:t xml:space="preserve"> those with pre-existing tumours. </w:t>
            </w:r>
            <w:r w:rsidRPr="00AF238C">
              <w:rPr>
                <w:rFonts w:ascii="Arial" w:hAnsi="Arial" w:cs="Arial"/>
                <w:sz w:val="20"/>
                <w:szCs w:val="20"/>
              </w:rPr>
              <w:t xml:space="preserve"> </w:t>
            </w:r>
            <w:r w:rsidRPr="00AF238C">
              <w:rPr>
                <w:rFonts w:ascii="Arial" w:hAnsi="Arial" w:cs="Arial"/>
                <w:sz w:val="20"/>
                <w:szCs w:val="20"/>
                <w:lang w:val="en-AU"/>
              </w:rPr>
              <w:t xml:space="preserve">However overall </w:t>
            </w:r>
            <w:r>
              <w:rPr>
                <w:rFonts w:ascii="Arial" w:hAnsi="Arial" w:cs="Arial"/>
                <w:sz w:val="20"/>
                <w:szCs w:val="20"/>
              </w:rPr>
              <w:t xml:space="preserve">report recommendations </w:t>
            </w:r>
            <w:r w:rsidRPr="00AF238C">
              <w:rPr>
                <w:rFonts w:ascii="Arial" w:hAnsi="Arial" w:cs="Arial"/>
                <w:sz w:val="20"/>
                <w:szCs w:val="20"/>
              </w:rPr>
              <w:t xml:space="preserve">consistently </w:t>
            </w:r>
            <w:r>
              <w:rPr>
                <w:rFonts w:ascii="Arial" w:hAnsi="Arial" w:cs="Arial"/>
                <w:sz w:val="20"/>
                <w:szCs w:val="20"/>
              </w:rPr>
              <w:t>advise that the</w:t>
            </w:r>
            <w:r w:rsidRPr="00AF238C">
              <w:rPr>
                <w:rFonts w:ascii="Arial" w:hAnsi="Arial" w:cs="Arial"/>
                <w:sz w:val="20"/>
                <w:szCs w:val="20"/>
              </w:rPr>
              <w:t xml:space="preserve"> benefits of folic acid fortification outweigh any potential risk for cancer</w:t>
            </w:r>
            <w:r w:rsidRPr="00AF238C">
              <w:rPr>
                <w:rStyle w:val="FootnoteReference"/>
                <w:rFonts w:ascii="Arial" w:hAnsi="Arial" w:cs="Arial"/>
                <w:sz w:val="20"/>
                <w:szCs w:val="20"/>
                <w:lang w:val="en-AU"/>
              </w:rPr>
              <w:footnoteReference w:id="11"/>
            </w:r>
            <w:r w:rsidRPr="00AF238C">
              <w:rPr>
                <w:rStyle w:val="FootnoteReference"/>
                <w:rFonts w:ascii="Arial" w:hAnsi="Arial" w:cs="Arial"/>
                <w:sz w:val="20"/>
                <w:szCs w:val="20"/>
                <w:lang w:val="en-AU"/>
              </w:rPr>
              <w:footnoteReference w:id="12"/>
            </w:r>
            <w:r w:rsidRPr="00AF238C">
              <w:rPr>
                <w:rStyle w:val="FootnoteReference"/>
                <w:rFonts w:ascii="Arial" w:hAnsi="Arial" w:cs="Arial"/>
                <w:sz w:val="20"/>
                <w:szCs w:val="20"/>
              </w:rPr>
              <w:footnoteReference w:id="13"/>
            </w:r>
            <w:r w:rsidRPr="00AF238C">
              <w:rPr>
                <w:rStyle w:val="FootnoteReference"/>
                <w:rFonts w:ascii="Arial" w:hAnsi="Arial" w:cs="Arial"/>
                <w:sz w:val="20"/>
                <w:szCs w:val="20"/>
              </w:rPr>
              <w:footnoteReference w:id="14"/>
            </w:r>
            <w:r w:rsidRPr="00AF238C">
              <w:rPr>
                <w:rFonts w:ascii="Arial" w:hAnsi="Arial" w:cs="Arial"/>
                <w:sz w:val="20"/>
                <w:szCs w:val="20"/>
                <w:lang w:val="en-AU"/>
              </w:rPr>
              <w:t xml:space="preserve"> These recommendations align with the Cancer Society’s 2011 </w:t>
            </w:r>
            <w:r w:rsidRPr="00AF238C">
              <w:rPr>
                <w:rFonts w:ascii="Arial" w:hAnsi="Arial" w:cs="Arial"/>
                <w:sz w:val="20"/>
                <w:szCs w:val="20"/>
              </w:rPr>
              <w:t>Position Statement on Folate and Cancer Risk</w:t>
            </w:r>
            <w:r w:rsidRPr="00AF238C">
              <w:rPr>
                <w:rStyle w:val="FootnoteReference"/>
                <w:rFonts w:ascii="Arial" w:hAnsi="Arial" w:cs="Arial"/>
                <w:sz w:val="20"/>
                <w:szCs w:val="20"/>
              </w:rPr>
              <w:footnoteReference w:id="15"/>
            </w:r>
            <w:r w:rsidRPr="00AF238C">
              <w:rPr>
                <w:rFonts w:ascii="Arial" w:hAnsi="Arial" w:cs="Arial"/>
                <w:sz w:val="20"/>
                <w:szCs w:val="20"/>
              </w:rPr>
              <w:t xml:space="preserve">. </w:t>
            </w:r>
          </w:p>
          <w:p w14:paraId="7C02FFF9" w14:textId="77777777" w:rsidR="009F1AD9" w:rsidRPr="00AF238C" w:rsidRDefault="009F1AD9" w:rsidP="009F1AD9">
            <w:pPr>
              <w:rPr>
                <w:rFonts w:ascii="Arial" w:hAnsi="Arial" w:cs="Arial"/>
                <w:sz w:val="20"/>
                <w:szCs w:val="20"/>
              </w:rPr>
            </w:pPr>
            <w:r>
              <w:rPr>
                <w:rFonts w:ascii="Arial" w:hAnsi="Arial" w:cs="Arial"/>
                <w:iCs/>
                <w:sz w:val="20"/>
                <w:szCs w:val="20"/>
                <w:lang w:val="en-AU"/>
              </w:rPr>
              <w:t>Due to some uncertainty about high folate and cancer links t</w:t>
            </w:r>
            <w:r w:rsidRPr="00AF238C">
              <w:rPr>
                <w:rFonts w:ascii="Arial" w:hAnsi="Arial" w:cs="Arial"/>
                <w:iCs/>
                <w:sz w:val="20"/>
                <w:szCs w:val="20"/>
                <w:lang w:val="en-AU"/>
              </w:rPr>
              <w:t xml:space="preserve">he Cancer Society </w:t>
            </w:r>
            <w:r>
              <w:rPr>
                <w:rFonts w:ascii="Arial" w:hAnsi="Arial" w:cs="Arial"/>
                <w:iCs/>
                <w:sz w:val="20"/>
                <w:szCs w:val="20"/>
                <w:lang w:val="en-AU"/>
              </w:rPr>
              <w:t>continues to</w:t>
            </w:r>
            <w:r w:rsidRPr="00AF238C">
              <w:rPr>
                <w:rFonts w:ascii="Arial" w:hAnsi="Arial" w:cs="Arial"/>
                <w:iCs/>
                <w:sz w:val="20"/>
                <w:szCs w:val="20"/>
                <w:lang w:val="en-AU"/>
              </w:rPr>
              <w:t xml:space="preserve"> recommend people with existing bowel adenomas and those with an increased risk of developing bowel adenomas avoid taking high-dose folic acid supplements (above the upper limit of 1mg (1000µg) per day. </w:t>
            </w:r>
            <w:r w:rsidRPr="00AF238C">
              <w:rPr>
                <w:rFonts w:ascii="Arial" w:hAnsi="Arial" w:cs="Arial"/>
                <w:sz w:val="20"/>
                <w:szCs w:val="20"/>
              </w:rPr>
              <w:t xml:space="preserve">This aligns with the World Cancer Research Fund recommendations to </w:t>
            </w:r>
            <w:r>
              <w:rPr>
                <w:rFonts w:ascii="Arial" w:hAnsi="Arial" w:cs="Arial"/>
                <w:sz w:val="20"/>
                <w:szCs w:val="20"/>
              </w:rPr>
              <w:t>avoid</w:t>
            </w:r>
            <w:r w:rsidRPr="00AF238C">
              <w:rPr>
                <w:rFonts w:ascii="Arial" w:hAnsi="Arial" w:cs="Arial"/>
                <w:sz w:val="20"/>
                <w:szCs w:val="20"/>
              </w:rPr>
              <w:t xml:space="preserve"> high </w:t>
            </w:r>
            <w:r>
              <w:rPr>
                <w:rFonts w:ascii="Arial" w:hAnsi="Arial" w:cs="Arial"/>
                <w:sz w:val="20"/>
                <w:szCs w:val="20"/>
              </w:rPr>
              <w:t>dose</w:t>
            </w:r>
            <w:r w:rsidRPr="00AF238C">
              <w:rPr>
                <w:rFonts w:ascii="Arial" w:hAnsi="Arial" w:cs="Arial"/>
                <w:sz w:val="20"/>
                <w:szCs w:val="20"/>
              </w:rPr>
              <w:t xml:space="preserve"> folic acid and dietary supplements for cancer prevention</w:t>
            </w:r>
            <w:r w:rsidRPr="00AF238C">
              <w:rPr>
                <w:rStyle w:val="FootnoteReference"/>
                <w:rFonts w:ascii="Arial" w:hAnsi="Arial" w:cs="Arial"/>
                <w:sz w:val="20"/>
                <w:szCs w:val="20"/>
              </w:rPr>
              <w:footnoteReference w:id="16"/>
            </w:r>
            <w:r w:rsidRPr="00AF238C">
              <w:rPr>
                <w:rFonts w:ascii="Arial" w:hAnsi="Arial" w:cs="Arial"/>
                <w:sz w:val="20"/>
                <w:szCs w:val="20"/>
              </w:rPr>
              <w:t xml:space="preserve">.  </w:t>
            </w:r>
          </w:p>
          <w:p w14:paraId="1A22FB4E" w14:textId="77777777" w:rsidR="009F1AD9" w:rsidRPr="00AF238C" w:rsidRDefault="009F1AD9" w:rsidP="009F1AD9">
            <w:pPr>
              <w:spacing w:after="240"/>
              <w:rPr>
                <w:rFonts w:ascii="Arial" w:hAnsi="Arial" w:cs="Arial"/>
                <w:sz w:val="20"/>
                <w:szCs w:val="20"/>
              </w:rPr>
            </w:pPr>
            <w:r w:rsidRPr="00AF238C">
              <w:rPr>
                <w:rFonts w:ascii="Arial" w:hAnsi="Arial" w:cs="Arial"/>
                <w:sz w:val="20"/>
                <w:szCs w:val="20"/>
              </w:rPr>
              <w:t xml:space="preserve">The Cancer Society supports </w:t>
            </w:r>
            <w:r w:rsidRPr="00AF238C">
              <w:rPr>
                <w:rFonts w:ascii="Arial" w:eastAsia="Arial" w:hAnsi="Arial" w:cs="Arial"/>
                <w:bCs/>
                <w:sz w:val="20"/>
                <w:szCs w:val="20"/>
              </w:rPr>
              <w:t xml:space="preserve">Option 3b: Mandatory fortification of non-organic bread-making wheat flour.  </w:t>
            </w:r>
            <w:r w:rsidRPr="00AF238C">
              <w:rPr>
                <w:rFonts w:ascii="Arial" w:hAnsi="Arial" w:cs="Arial"/>
                <w:sz w:val="20"/>
                <w:szCs w:val="20"/>
              </w:rPr>
              <w:t>The Cancer Societ</w:t>
            </w:r>
            <w:r w:rsidRPr="00AF238C">
              <w:rPr>
                <w:rFonts w:ascii="Arial" w:hAnsi="Arial" w:cs="Arial"/>
                <w:sz w:val="20"/>
                <w:szCs w:val="20"/>
                <w:lang w:val="en-AU"/>
              </w:rPr>
              <w:t>y agree that the</w:t>
            </w:r>
            <w:r w:rsidRPr="00AF238C">
              <w:rPr>
                <w:rFonts w:ascii="Arial" w:hAnsi="Arial" w:cs="Arial"/>
                <w:sz w:val="20"/>
                <w:szCs w:val="20"/>
              </w:rPr>
              <w:t xml:space="preserve"> benefits of folic acid supplementation outweigh those of any potential cancer effects and will particularly benefit those most at risk.  Due to the research inconsistencies about folate supplementation and cancer risk the Cancer Society also recommends its continued research and monitoring.</w:t>
            </w:r>
          </w:p>
          <w:p w14:paraId="70743956" w14:textId="58AEEA1A" w:rsidR="00B32CBB" w:rsidRPr="00312439" w:rsidRDefault="009F1AD9" w:rsidP="00A67F58">
            <w:pPr>
              <w:spacing w:after="120"/>
              <w:rPr>
                <w:rFonts w:ascii="Arial" w:hAnsi="Arial" w:cs="Arial"/>
                <w:sz w:val="20"/>
                <w:szCs w:val="20"/>
              </w:rPr>
            </w:pPr>
            <w:r w:rsidRPr="00AF238C">
              <w:rPr>
                <w:rFonts w:ascii="Arial" w:hAnsi="Arial" w:cs="Arial"/>
                <w:sz w:val="20"/>
                <w:szCs w:val="20"/>
              </w:rPr>
              <w:t>Food Security impacts at least 19% of households in New Zealand with greater rates experienced in low income and more deprived neighbourhoods, Māori and Pacific populations and families with greater numbers of children</w:t>
            </w:r>
            <w:r w:rsidRPr="00AF238C">
              <w:rPr>
                <w:rStyle w:val="FootnoteReference"/>
                <w:rFonts w:ascii="Arial" w:hAnsi="Arial" w:cs="Arial"/>
                <w:sz w:val="20"/>
                <w:szCs w:val="20"/>
              </w:rPr>
              <w:footnoteReference w:id="17"/>
            </w:r>
            <w:r w:rsidRPr="00AF238C">
              <w:rPr>
                <w:rStyle w:val="FootnoteReference"/>
                <w:rFonts w:ascii="Arial" w:hAnsi="Arial" w:cs="Arial"/>
                <w:sz w:val="20"/>
                <w:szCs w:val="20"/>
              </w:rPr>
              <w:footnoteReference w:id="18"/>
            </w:r>
            <w:r w:rsidRPr="00AF238C">
              <w:rPr>
                <w:rFonts w:ascii="Arial" w:hAnsi="Arial" w:cs="Arial"/>
                <w:sz w:val="20"/>
                <w:szCs w:val="20"/>
              </w:rPr>
              <w:t xml:space="preserve">.  Food insecure households are less likely meet the recommendations for fruit and vegetable intake compare to food secure households.  The Cancer Society recommends that strategies to support food insecure women to easily access healthy affordable food are also addressed alongside folic acid fortification as an important way to address inequities in food choice, NTDs and health.  </w:t>
            </w:r>
          </w:p>
        </w:tc>
      </w:tr>
    </w:tbl>
    <w:p w14:paraId="69DDC11D" w14:textId="1E3BD8E8" w:rsidR="003E0347" w:rsidRPr="0016675F" w:rsidRDefault="003E0347" w:rsidP="009F1AD9">
      <w:pPr>
        <w:spacing w:after="0"/>
        <w:rPr>
          <w:rFonts w:ascii="Arial" w:hAnsi="Arial" w:cs="Arial"/>
          <w:i/>
        </w:rPr>
      </w:pPr>
    </w:p>
    <w:sectPr w:rsidR="003E0347" w:rsidRPr="0016675F" w:rsidSect="00512B7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3F27" w14:textId="77777777" w:rsidR="00647DFA" w:rsidRDefault="00647DFA" w:rsidP="00B41D96">
      <w:pPr>
        <w:spacing w:after="0" w:line="240" w:lineRule="auto"/>
      </w:pPr>
      <w:r>
        <w:separator/>
      </w:r>
    </w:p>
  </w:endnote>
  <w:endnote w:type="continuationSeparator" w:id="0">
    <w:p w14:paraId="1DFB078B" w14:textId="77777777" w:rsidR="00647DFA" w:rsidRDefault="00647DFA" w:rsidP="00B41D96">
      <w:pPr>
        <w:spacing w:after="0" w:line="240" w:lineRule="auto"/>
      </w:pPr>
      <w:r>
        <w:continuationSeparator/>
      </w:r>
    </w:p>
  </w:endnote>
  <w:endnote w:type="continuationNotice" w:id="1">
    <w:p w14:paraId="07549024" w14:textId="77777777" w:rsidR="00647DFA" w:rsidRDefault="00647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w:altName w:val="Courier New"/>
    <w:charset w:val="00"/>
    <w:family w:val="auto"/>
    <w:pitch w:val="variable"/>
    <w:sig w:usb0="00000003" w:usb1="4000204A" w:usb2="00000000" w:usb3="00000000" w:csb0="00000001" w:csb1="00000000"/>
  </w:font>
  <w:font w:name="Archer Book">
    <w:altName w:val="Times New Roman"/>
    <w:panose1 w:val="00000000000000000000"/>
    <w:charset w:val="00"/>
    <w:family w:val="modern"/>
    <w:notTrueType/>
    <w:pitch w:val="variable"/>
    <w:sig w:usb0="00000001" w:usb1="4000005B" w:usb2="00000000" w:usb3="00000000" w:csb0="0000008B" w:csb1="00000000"/>
  </w:font>
  <w:font w:name="Archer Semibold">
    <w:altName w:val="Arial"/>
    <w:panose1 w:val="00000000000000000000"/>
    <w:charset w:val="00"/>
    <w:family w:val="modern"/>
    <w:notTrueType/>
    <w:pitch w:val="variable"/>
    <w:sig w:usb0="00000001" w:usb1="4000005B" w:usb2="00000000" w:usb3="00000000" w:csb0="0000008B"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929224"/>
      <w:docPartObj>
        <w:docPartGallery w:val="Page Numbers (Bottom of Page)"/>
        <w:docPartUnique/>
      </w:docPartObj>
    </w:sdtPr>
    <w:sdtEndPr/>
    <w:sdtContent>
      <w:p w14:paraId="69DDC122" w14:textId="77777777" w:rsidR="002C45A1" w:rsidRDefault="002C45A1">
        <w:pPr>
          <w:pStyle w:val="Footer"/>
          <w:jc w:val="right"/>
        </w:pPr>
        <w:r>
          <w:fldChar w:fldCharType="begin"/>
        </w:r>
        <w:r>
          <w:instrText xml:space="preserve"> PAGE   \* MERGEFORMAT </w:instrText>
        </w:r>
        <w:r>
          <w:fldChar w:fldCharType="separate"/>
        </w:r>
        <w:r w:rsidR="003B4682">
          <w:rPr>
            <w:noProof/>
          </w:rPr>
          <w:t>4</w:t>
        </w:r>
        <w:r>
          <w:fldChar w:fldCharType="end"/>
        </w:r>
      </w:p>
    </w:sdtContent>
  </w:sdt>
  <w:p w14:paraId="69DDC123" w14:textId="77777777" w:rsidR="002C45A1" w:rsidRDefault="002C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2FE7E" w14:textId="77777777" w:rsidR="00647DFA" w:rsidRDefault="00647DFA" w:rsidP="00B41D96">
      <w:pPr>
        <w:spacing w:after="0" w:line="240" w:lineRule="auto"/>
      </w:pPr>
      <w:r>
        <w:separator/>
      </w:r>
    </w:p>
  </w:footnote>
  <w:footnote w:type="continuationSeparator" w:id="0">
    <w:p w14:paraId="0024419C" w14:textId="77777777" w:rsidR="00647DFA" w:rsidRDefault="00647DFA" w:rsidP="00B41D96">
      <w:pPr>
        <w:spacing w:after="0" w:line="240" w:lineRule="auto"/>
      </w:pPr>
      <w:r>
        <w:continuationSeparator/>
      </w:r>
    </w:p>
  </w:footnote>
  <w:footnote w:type="continuationNotice" w:id="1">
    <w:p w14:paraId="30DC1904" w14:textId="77777777" w:rsidR="00647DFA" w:rsidRDefault="00647DFA">
      <w:pPr>
        <w:spacing w:after="0" w:line="240" w:lineRule="auto"/>
      </w:pPr>
    </w:p>
  </w:footnote>
  <w:footnote w:id="2">
    <w:p w14:paraId="4884ABF7" w14:textId="77777777" w:rsidR="009F1AD9" w:rsidRPr="00183FC5" w:rsidRDefault="009F1AD9" w:rsidP="009F1AD9">
      <w:pPr>
        <w:pStyle w:val="FootnoteText"/>
        <w:rPr>
          <w:rFonts w:ascii="Arial" w:hAnsi="Arial" w:cs="Arial"/>
          <w:sz w:val="16"/>
          <w:szCs w:val="16"/>
        </w:rPr>
      </w:pPr>
      <w:r w:rsidRPr="00183FC5">
        <w:rPr>
          <w:rStyle w:val="FootnoteReference"/>
          <w:rFonts w:ascii="Arial" w:hAnsi="Arial" w:cs="Arial"/>
          <w:sz w:val="16"/>
          <w:szCs w:val="16"/>
        </w:rPr>
        <w:footnoteRef/>
      </w:r>
      <w:r w:rsidRPr="00183FC5">
        <w:rPr>
          <w:rFonts w:ascii="Arial" w:hAnsi="Arial" w:cs="Arial"/>
          <w:sz w:val="16"/>
          <w:szCs w:val="16"/>
        </w:rPr>
        <w:t xml:space="preserve"> Ministry of Primary Industries, Voluntary Folic Acid Fortification: Monitoring and Evaluation Report, Feb 2018. </w:t>
      </w:r>
    </w:p>
  </w:footnote>
  <w:footnote w:id="3">
    <w:p w14:paraId="24C60C3B" w14:textId="77777777" w:rsidR="009F1AD9" w:rsidRPr="00D24B24" w:rsidRDefault="009F1AD9" w:rsidP="009F1AD9">
      <w:pPr>
        <w:pStyle w:val="FootnoteText"/>
        <w:rPr>
          <w:rFonts w:ascii="Arial" w:hAnsi="Arial" w:cs="Arial"/>
          <w:sz w:val="16"/>
          <w:szCs w:val="16"/>
        </w:rPr>
      </w:pPr>
      <w:r w:rsidRPr="00183FC5">
        <w:rPr>
          <w:rStyle w:val="FootnoteReference"/>
          <w:rFonts w:ascii="Arial" w:hAnsi="Arial" w:cs="Arial"/>
          <w:sz w:val="16"/>
          <w:szCs w:val="16"/>
        </w:rPr>
        <w:footnoteRef/>
      </w:r>
      <w:r w:rsidRPr="00183FC5">
        <w:rPr>
          <w:rFonts w:ascii="Arial" w:hAnsi="Arial" w:cs="Arial"/>
          <w:sz w:val="16"/>
          <w:szCs w:val="16"/>
        </w:rPr>
        <w:t xml:space="preserve"> Office of Prime Ministers</w:t>
      </w:r>
      <w:r w:rsidRPr="00D24B24">
        <w:rPr>
          <w:rFonts w:ascii="Arial" w:hAnsi="Arial" w:cs="Arial"/>
          <w:sz w:val="16"/>
          <w:szCs w:val="16"/>
        </w:rPr>
        <w:t xml:space="preserve"> Chief Science Advisor and</w:t>
      </w:r>
      <w:r>
        <w:rPr>
          <w:rFonts w:ascii="Arial" w:hAnsi="Arial" w:cs="Arial"/>
          <w:sz w:val="16"/>
          <w:szCs w:val="16"/>
        </w:rPr>
        <w:t xml:space="preserve"> the Royal Society Te Aparangi.</w:t>
      </w:r>
      <w:r w:rsidRPr="00D24B24">
        <w:rPr>
          <w:rFonts w:ascii="Arial" w:hAnsi="Arial" w:cs="Arial"/>
          <w:sz w:val="16"/>
          <w:szCs w:val="16"/>
        </w:rPr>
        <w:t xml:space="preserve"> The Health Benefits and Risk of Folic Acid Fortification of Food. June 2018 </w:t>
      </w:r>
      <w:r>
        <w:rPr>
          <w:rFonts w:ascii="Arial" w:hAnsi="Arial" w:cs="Arial"/>
          <w:sz w:val="16"/>
          <w:szCs w:val="16"/>
        </w:rPr>
        <w:t xml:space="preserve">available from </w:t>
      </w:r>
      <w:hyperlink r:id="rId1" w:history="1">
        <w:r w:rsidRPr="004A6E44">
          <w:rPr>
            <w:rStyle w:val="Hyperlink"/>
            <w:rFonts w:ascii="Arial" w:hAnsi="Arial" w:cs="Arial"/>
            <w:sz w:val="16"/>
            <w:szCs w:val="16"/>
          </w:rPr>
          <w:t>https://www.pmcsa.org.nz/wp-content/uploads/The-health-benefits-and-risks-of-folic-acid-fortification-of-food.pdf</w:t>
        </w:r>
      </w:hyperlink>
      <w:r>
        <w:rPr>
          <w:rFonts w:ascii="Arial" w:hAnsi="Arial" w:cs="Arial"/>
          <w:sz w:val="16"/>
          <w:szCs w:val="16"/>
        </w:rPr>
        <w:t>.</w:t>
      </w:r>
    </w:p>
  </w:footnote>
  <w:footnote w:id="4">
    <w:p w14:paraId="09BFF902" w14:textId="77777777" w:rsidR="009F1AD9" w:rsidRPr="009F1AD9" w:rsidRDefault="009F1AD9" w:rsidP="009F1AD9">
      <w:pPr>
        <w:pStyle w:val="FootnoteText"/>
        <w:rPr>
          <w:rFonts w:ascii="Arial" w:hAnsi="Arial" w:cs="Arial"/>
          <w:sz w:val="16"/>
          <w:szCs w:val="16"/>
        </w:rPr>
      </w:pPr>
      <w:r w:rsidRPr="009F1AD9">
        <w:rPr>
          <w:rStyle w:val="FootnoteReference"/>
          <w:rFonts w:ascii="Arial" w:hAnsi="Arial" w:cs="Arial"/>
          <w:sz w:val="16"/>
          <w:szCs w:val="16"/>
        </w:rPr>
        <w:footnoteRef/>
      </w:r>
      <w:r w:rsidRPr="009F1AD9">
        <w:rPr>
          <w:rFonts w:ascii="Arial" w:hAnsi="Arial" w:cs="Arial"/>
          <w:sz w:val="16"/>
          <w:szCs w:val="16"/>
        </w:rPr>
        <w:t xml:space="preserve"> Ministry of Health, NZ Health Survey: Regional Data Explorer, 2019, available from </w:t>
      </w:r>
      <w:hyperlink r:id="rId2" w:anchor="!/compare-regions" w:history="1">
        <w:r w:rsidRPr="009F1AD9">
          <w:rPr>
            <w:rFonts w:ascii="Arial" w:hAnsi="Arial" w:cs="Arial"/>
            <w:color w:val="0000FF"/>
            <w:sz w:val="16"/>
            <w:szCs w:val="16"/>
            <w:u w:val="single"/>
          </w:rPr>
          <w:t>https://minhealthnz.shinyapps.io/nz-health-survey-2014-17-regional-update/_w_7de86db0/#!/compare-regions</w:t>
        </w:r>
      </w:hyperlink>
      <w:r w:rsidRPr="009F1AD9">
        <w:rPr>
          <w:rFonts w:ascii="Arial" w:hAnsi="Arial" w:cs="Arial"/>
          <w:sz w:val="16"/>
          <w:szCs w:val="16"/>
        </w:rPr>
        <w:t xml:space="preserve">. </w:t>
      </w:r>
    </w:p>
  </w:footnote>
  <w:footnote w:id="5">
    <w:p w14:paraId="24C06937" w14:textId="77777777" w:rsidR="009F1AD9" w:rsidRPr="009F1AD9" w:rsidRDefault="009F1AD9" w:rsidP="009F1AD9">
      <w:pPr>
        <w:autoSpaceDE w:val="0"/>
        <w:autoSpaceDN w:val="0"/>
        <w:adjustRightInd w:val="0"/>
        <w:spacing w:after="0" w:line="240" w:lineRule="auto"/>
        <w:rPr>
          <w:rFonts w:ascii="Arial" w:hAnsi="Arial" w:cs="Arial"/>
          <w:sz w:val="16"/>
          <w:szCs w:val="16"/>
        </w:rPr>
      </w:pPr>
      <w:r w:rsidRPr="009F1AD9">
        <w:rPr>
          <w:rStyle w:val="FootnoteReference"/>
          <w:rFonts w:ascii="Arial" w:hAnsi="Arial" w:cs="Arial"/>
          <w:sz w:val="16"/>
          <w:szCs w:val="16"/>
        </w:rPr>
        <w:footnoteRef/>
      </w:r>
      <w:r w:rsidRPr="009F1AD9">
        <w:rPr>
          <w:rFonts w:ascii="Arial" w:hAnsi="Arial" w:cs="Arial"/>
          <w:sz w:val="16"/>
          <w:szCs w:val="16"/>
        </w:rPr>
        <w:t xml:space="preserve"> Slagman A., Harris L., Campbell S, et al. Folic acid deficiency declined substantially after introduction of the mandatory fortification programme in Queensland, Public Health Nutrition. August 2018. DOI: 10.1017/S1368980019002258. </w:t>
      </w:r>
    </w:p>
    <w:p w14:paraId="04913242" w14:textId="77777777" w:rsidR="009F1AD9" w:rsidRPr="009F1AD9" w:rsidRDefault="009F1AD9" w:rsidP="009F1AD9">
      <w:pPr>
        <w:pStyle w:val="FootnoteText"/>
        <w:rPr>
          <w:rFonts w:ascii="Arial" w:hAnsi="Arial" w:cs="Arial"/>
          <w:sz w:val="16"/>
          <w:szCs w:val="16"/>
        </w:rPr>
      </w:pPr>
      <w:r w:rsidRPr="009F1AD9">
        <w:rPr>
          <w:rFonts w:ascii="Arial" w:hAnsi="Arial" w:cs="Arial"/>
          <w:sz w:val="16"/>
          <w:szCs w:val="16"/>
        </w:rPr>
        <w:t>Australia: a secondary health data analysis</w:t>
      </w:r>
    </w:p>
  </w:footnote>
  <w:footnote w:id="6">
    <w:p w14:paraId="5141C832" w14:textId="77777777" w:rsidR="009F1AD9" w:rsidRPr="009F1AD9" w:rsidRDefault="009F1AD9" w:rsidP="009F1AD9">
      <w:pPr>
        <w:pStyle w:val="FootnoteText"/>
        <w:rPr>
          <w:rFonts w:ascii="Arial" w:hAnsi="Arial" w:cs="Arial"/>
          <w:sz w:val="16"/>
          <w:szCs w:val="16"/>
        </w:rPr>
      </w:pPr>
      <w:r w:rsidRPr="009F1AD9">
        <w:rPr>
          <w:rFonts w:ascii="Arial" w:hAnsi="Arial" w:cs="Arial"/>
          <w:sz w:val="16"/>
          <w:szCs w:val="16"/>
        </w:rPr>
        <w:footnoteRef/>
      </w:r>
      <w:r w:rsidRPr="009F1AD9">
        <w:rPr>
          <w:rFonts w:ascii="Arial" w:hAnsi="Arial" w:cs="Arial"/>
          <w:sz w:val="16"/>
          <w:szCs w:val="16"/>
        </w:rPr>
        <w:t xml:space="preserve"> Slagman A., Harris L., Campbell S, et al. Low proportions of folic acid deficiency after introduction of mandatory folic acid fortification in remote areas of northern Queensland, Australia: a secondary health data analysis, Biomarkers, 2019. 24:7, 684-691. DOI: 10.1080/1354750X.2019.1652346</w:t>
      </w:r>
    </w:p>
  </w:footnote>
  <w:footnote w:id="7">
    <w:p w14:paraId="63AA052C" w14:textId="77777777" w:rsidR="009F1AD9" w:rsidRPr="009F1AD9" w:rsidRDefault="009F1AD9" w:rsidP="009F1AD9">
      <w:pPr>
        <w:pStyle w:val="FootnoteText"/>
        <w:rPr>
          <w:rFonts w:ascii="Arial" w:hAnsi="Arial" w:cs="Arial"/>
          <w:sz w:val="16"/>
          <w:szCs w:val="16"/>
        </w:rPr>
      </w:pPr>
      <w:r w:rsidRPr="009F1AD9">
        <w:rPr>
          <w:rFonts w:ascii="Arial" w:hAnsi="Arial" w:cs="Arial"/>
          <w:sz w:val="16"/>
          <w:szCs w:val="16"/>
        </w:rPr>
        <w:footnoteRef/>
      </w:r>
      <w:r w:rsidRPr="009F1AD9">
        <w:rPr>
          <w:rFonts w:ascii="Arial" w:hAnsi="Arial" w:cs="Arial"/>
          <w:sz w:val="16"/>
          <w:szCs w:val="16"/>
        </w:rPr>
        <w:t xml:space="preserve"> D’Antoine, H., Bower, C. Folate Status and Neural Tube Defects in Aboriginal Australians: the Success of Mandatory Fortification in Reducing a Health Disparity. Current Developments in Nutrition. 2019.3, available from </w:t>
      </w:r>
      <w:hyperlink r:id="rId3" w:history="1">
        <w:r w:rsidRPr="009F1AD9">
          <w:rPr>
            <w:rFonts w:ascii="Arial" w:hAnsi="Arial" w:cs="Arial"/>
            <w:color w:val="0000FF"/>
            <w:sz w:val="16"/>
            <w:szCs w:val="16"/>
            <w:u w:val="single"/>
          </w:rPr>
          <w:t>https://academic.oup.com/cdn/article/3/8/nzz071/5519849</w:t>
        </w:r>
      </w:hyperlink>
    </w:p>
  </w:footnote>
  <w:footnote w:id="8">
    <w:p w14:paraId="0C954F1D" w14:textId="77777777" w:rsidR="009F1AD9" w:rsidRPr="009F1AD9" w:rsidRDefault="009F1AD9" w:rsidP="009F1AD9">
      <w:pPr>
        <w:widowControl w:val="0"/>
        <w:autoSpaceDE w:val="0"/>
        <w:autoSpaceDN w:val="0"/>
        <w:adjustRightInd w:val="0"/>
        <w:spacing w:after="0" w:line="240" w:lineRule="auto"/>
        <w:rPr>
          <w:rFonts w:ascii="Arial" w:hAnsi="Arial" w:cs="Arial"/>
          <w:sz w:val="16"/>
          <w:szCs w:val="16"/>
        </w:rPr>
      </w:pPr>
      <w:r w:rsidRPr="009F1AD9">
        <w:rPr>
          <w:rStyle w:val="FootnoteReference"/>
          <w:rFonts w:ascii="Arial" w:hAnsi="Arial" w:cs="Arial"/>
          <w:sz w:val="16"/>
          <w:szCs w:val="16"/>
        </w:rPr>
        <w:footnoteRef/>
      </w:r>
      <w:r w:rsidRPr="009F1AD9">
        <w:rPr>
          <w:rFonts w:ascii="Arial" w:hAnsi="Arial" w:cs="Arial"/>
          <w:sz w:val="16"/>
          <w:szCs w:val="16"/>
        </w:rPr>
        <w:t xml:space="preserve"> Saing, S., Haywood, P., van der Linden, N et al, </w:t>
      </w:r>
      <w:r w:rsidRPr="009F1AD9">
        <w:rPr>
          <w:rFonts w:ascii="Arial" w:hAnsi="Arial" w:cs="Arial"/>
          <w:sz w:val="16"/>
          <w:szCs w:val="16"/>
          <w:lang w:val="en-US"/>
        </w:rPr>
        <w:t>Real</w:t>
      </w:r>
      <w:r w:rsidRPr="009F1AD9">
        <w:rPr>
          <w:rFonts w:ascii="MS Gothic" w:eastAsia="MS Gothic" w:hAnsi="MS Gothic" w:cs="MS Gothic" w:hint="eastAsia"/>
          <w:sz w:val="16"/>
          <w:szCs w:val="16"/>
          <w:lang w:val="en-US"/>
        </w:rPr>
        <w:t>‑</w:t>
      </w:r>
      <w:r w:rsidRPr="009F1AD9">
        <w:rPr>
          <w:rFonts w:ascii="Arial" w:hAnsi="Arial" w:cs="Arial"/>
          <w:sz w:val="16"/>
          <w:szCs w:val="16"/>
          <w:lang w:val="en-US"/>
        </w:rPr>
        <w:t>World Cost Effectiveness of Mandatory Folic Acid Fortification of Bread</w:t>
      </w:r>
      <w:r w:rsidRPr="009F1AD9">
        <w:rPr>
          <w:rFonts w:ascii="MS Gothic" w:eastAsia="MS Gothic" w:hAnsi="MS Gothic" w:cs="MS Gothic" w:hint="eastAsia"/>
          <w:sz w:val="16"/>
          <w:szCs w:val="16"/>
          <w:lang w:val="en-US"/>
        </w:rPr>
        <w:t>‑</w:t>
      </w:r>
      <w:r w:rsidRPr="009F1AD9">
        <w:rPr>
          <w:rFonts w:ascii="Arial" w:hAnsi="Arial" w:cs="Arial"/>
          <w:sz w:val="16"/>
          <w:szCs w:val="16"/>
          <w:lang w:val="en-US"/>
        </w:rPr>
        <w:t>Making Flour in Australia, 2019, 9, 17:243-254 at https://doi.org/10.1007/s40258-018-00454-3</w:t>
      </w:r>
    </w:p>
  </w:footnote>
  <w:footnote w:id="9">
    <w:p w14:paraId="5708D51D" w14:textId="77777777" w:rsidR="009F1AD9" w:rsidRPr="009F1AD9" w:rsidRDefault="009F1AD9" w:rsidP="009F1AD9">
      <w:pPr>
        <w:pStyle w:val="FootnoteText"/>
        <w:rPr>
          <w:rFonts w:ascii="Arial" w:hAnsi="Arial" w:cs="Arial"/>
          <w:sz w:val="16"/>
          <w:szCs w:val="16"/>
        </w:rPr>
      </w:pPr>
      <w:r w:rsidRPr="009F1AD9">
        <w:rPr>
          <w:rStyle w:val="FootnoteReference"/>
          <w:rFonts w:ascii="Arial" w:hAnsi="Arial" w:cs="Arial"/>
          <w:sz w:val="16"/>
          <w:szCs w:val="16"/>
        </w:rPr>
        <w:footnoteRef/>
      </w:r>
      <w:r w:rsidRPr="009F1AD9">
        <w:rPr>
          <w:rFonts w:ascii="Arial" w:hAnsi="Arial" w:cs="Arial"/>
          <w:sz w:val="16"/>
          <w:szCs w:val="16"/>
        </w:rPr>
        <w:t xml:space="preserve"> </w:t>
      </w:r>
      <w:r w:rsidRPr="009F1AD9">
        <w:rPr>
          <w:rFonts w:ascii="Arial" w:hAnsi="Arial" w:cs="Arial"/>
          <w:sz w:val="16"/>
          <w:szCs w:val="16"/>
          <w:lang w:val="en-AU"/>
        </w:rPr>
        <w:t>Food Standards Australia New Zealand. Proposal P295 Consideration of Mandatory Fortification with Folic Acid: First Review Report FSANZ; 2007.</w:t>
      </w:r>
    </w:p>
  </w:footnote>
  <w:footnote w:id="10">
    <w:p w14:paraId="08E4A19D" w14:textId="77777777" w:rsidR="009F1AD9" w:rsidRPr="00DB20CA" w:rsidRDefault="009F1AD9" w:rsidP="009F1AD9">
      <w:pPr>
        <w:pStyle w:val="FootnoteText"/>
        <w:rPr>
          <w:rFonts w:ascii="Arial" w:hAnsi="Arial" w:cs="Arial"/>
          <w:sz w:val="16"/>
          <w:szCs w:val="16"/>
        </w:rPr>
      </w:pPr>
      <w:r w:rsidRPr="009F1AD9">
        <w:rPr>
          <w:rFonts w:ascii="Arial" w:hAnsi="Arial" w:cs="Arial"/>
          <w:sz w:val="16"/>
          <w:szCs w:val="16"/>
        </w:rPr>
        <w:footnoteRef/>
      </w:r>
      <w:r w:rsidRPr="009F1AD9">
        <w:rPr>
          <w:rFonts w:ascii="Arial" w:hAnsi="Arial" w:cs="Arial"/>
          <w:sz w:val="16"/>
          <w:szCs w:val="16"/>
        </w:rPr>
        <w:t xml:space="preserve"> Food Standards Australia New Zealand. Proposal P295: Consideration of mandatory fortification with folic acid: Final Assessment Report. FSANZ; 2006.</w:t>
      </w:r>
    </w:p>
  </w:footnote>
  <w:footnote w:id="11">
    <w:p w14:paraId="3151B249"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Scientific Advisory Committee on Nutrition. Update on Folic Acid. 2017. </w:t>
      </w:r>
    </w:p>
  </w:footnote>
  <w:footnote w:id="12">
    <w:p w14:paraId="2631647A" w14:textId="77777777" w:rsidR="009F1AD9" w:rsidRPr="00ED6237" w:rsidRDefault="009F1AD9" w:rsidP="009F1AD9">
      <w:pPr>
        <w:widowControl w:val="0"/>
        <w:autoSpaceDE w:val="0"/>
        <w:autoSpaceDN w:val="0"/>
        <w:adjustRightInd w:val="0"/>
        <w:spacing w:after="0" w:line="240" w:lineRule="auto"/>
        <w:rPr>
          <w:rFonts w:ascii="Arial" w:hAnsi="Arial" w:cs="Arial"/>
          <w:sz w:val="16"/>
          <w:szCs w:val="16"/>
          <w:lang w:val="en-US"/>
        </w:rPr>
      </w:pPr>
      <w:r w:rsidRPr="00ED6237">
        <w:rPr>
          <w:rStyle w:val="FootnoteReference"/>
          <w:rFonts w:ascii="Arial" w:hAnsi="Arial" w:cs="Arial"/>
          <w:sz w:val="16"/>
          <w:szCs w:val="16"/>
        </w:rPr>
        <w:footnoteRef/>
      </w:r>
      <w:r w:rsidRPr="00ED6237">
        <w:rPr>
          <w:rFonts w:ascii="Arial" w:hAnsi="Arial" w:cs="Arial"/>
          <w:sz w:val="16"/>
          <w:szCs w:val="16"/>
        </w:rPr>
        <w:t xml:space="preserve"> </w:t>
      </w:r>
      <w:r w:rsidRPr="00ED6237">
        <w:rPr>
          <w:rFonts w:ascii="Arial" w:hAnsi="Arial" w:cs="Arial"/>
          <w:sz w:val="16"/>
          <w:szCs w:val="16"/>
          <w:lang w:val="en-US"/>
        </w:rPr>
        <w:t xml:space="preserve">Centeno Tablante, E., Pachón,H., Guetterman,HM., Finkelstein,JL., Fortification of wheat and maize flour with folic acid for population health outcomes. Cochrane Database of Systematic Reviews 2019, Issue 7. </w:t>
      </w:r>
    </w:p>
  </w:footnote>
  <w:footnote w:id="13">
    <w:p w14:paraId="4FE85A83"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w:t>
      </w:r>
      <w:r w:rsidRPr="00ED6237">
        <w:rPr>
          <w:rFonts w:ascii="Arial" w:hAnsi="Arial" w:cs="Arial"/>
          <w:color w:val="000000"/>
          <w:sz w:val="16"/>
          <w:szCs w:val="16"/>
        </w:rPr>
        <w:t xml:space="preserve">World Cancer Research Fund/American Institute for Cancer Research. </w:t>
      </w:r>
      <w:r w:rsidRPr="00ED6237">
        <w:rPr>
          <w:rFonts w:ascii="Arial" w:hAnsi="Arial" w:cs="Arial"/>
          <w:i/>
          <w:iCs/>
          <w:color w:val="000000"/>
          <w:sz w:val="16"/>
          <w:szCs w:val="16"/>
        </w:rPr>
        <w:t xml:space="preserve">Diet, Nutrition, Physical Activity and Cancer: a Global Perspective. </w:t>
      </w:r>
      <w:r w:rsidRPr="00ED6237">
        <w:rPr>
          <w:rFonts w:ascii="Arial" w:hAnsi="Arial" w:cs="Arial"/>
          <w:color w:val="000000"/>
          <w:sz w:val="16"/>
          <w:szCs w:val="16"/>
        </w:rPr>
        <w:t>Continuous Update Project Expert Report 2018. p8, of chapter Diet nutrition physical activity and colorectal cancer.</w:t>
      </w:r>
    </w:p>
  </w:footnote>
  <w:footnote w:id="14">
    <w:p w14:paraId="1FE5244A"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Office of Prime Ministers Chief Science Advisor and the Royal Societ</w:t>
      </w:r>
      <w:r>
        <w:rPr>
          <w:rFonts w:ascii="Arial" w:hAnsi="Arial" w:cs="Arial"/>
          <w:sz w:val="16"/>
          <w:szCs w:val="16"/>
        </w:rPr>
        <w:t>y Te Aparangi.</w:t>
      </w:r>
      <w:r w:rsidRPr="00ED6237">
        <w:rPr>
          <w:rFonts w:ascii="Arial" w:hAnsi="Arial" w:cs="Arial"/>
          <w:sz w:val="16"/>
          <w:szCs w:val="16"/>
        </w:rPr>
        <w:t xml:space="preserve"> The Health Benefits and Risk of Folic Acid Fortification of Food. June 2018, available at </w:t>
      </w:r>
      <w:hyperlink r:id="rId4" w:history="1">
        <w:r w:rsidRPr="00ED6237">
          <w:rPr>
            <w:rFonts w:ascii="Arial" w:hAnsi="Arial" w:cs="Arial"/>
            <w:sz w:val="16"/>
            <w:szCs w:val="16"/>
            <w:u w:val="single"/>
          </w:rPr>
          <w:t>https://www.pmcsa.org.nz/wp-content/uploads/The-health-benefits-and-risks-of-folic-acid-fortification-of-food.pdf</w:t>
        </w:r>
      </w:hyperlink>
    </w:p>
  </w:footnote>
  <w:footnote w:id="15">
    <w:p w14:paraId="34ADF669"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The Cancer Society of NZ, Position Statement on Folate and Reducing Cancer Risk, March 2011, Cancer Society NZ, available at </w:t>
      </w:r>
      <w:hyperlink r:id="rId5" w:history="1">
        <w:r w:rsidRPr="00ED6237">
          <w:rPr>
            <w:rFonts w:ascii="Arial" w:hAnsi="Arial" w:cs="Arial"/>
            <w:sz w:val="16"/>
            <w:szCs w:val="16"/>
            <w:u w:val="single"/>
          </w:rPr>
          <w:t>https://cancernz.org.nz/assets/Positions-Statements/473-CSNAT-Folate-Positioning-statement-Jul13.pdf</w:t>
        </w:r>
      </w:hyperlink>
      <w:r w:rsidRPr="00ED6237">
        <w:rPr>
          <w:rFonts w:ascii="Arial" w:hAnsi="Arial" w:cs="Arial"/>
          <w:sz w:val="16"/>
          <w:szCs w:val="16"/>
        </w:rPr>
        <w:t xml:space="preserve">. </w:t>
      </w:r>
    </w:p>
  </w:footnote>
  <w:footnote w:id="16">
    <w:p w14:paraId="10D2F795"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w:t>
      </w:r>
      <w:r w:rsidRPr="00ED6237">
        <w:rPr>
          <w:rFonts w:ascii="Arial" w:hAnsi="Arial" w:cs="Arial"/>
          <w:color w:val="000000"/>
          <w:sz w:val="16"/>
          <w:szCs w:val="16"/>
        </w:rPr>
        <w:t xml:space="preserve">World Cancer Research Fund/American Institute for Cancer Research. </w:t>
      </w:r>
      <w:r w:rsidRPr="00ED6237">
        <w:rPr>
          <w:rFonts w:ascii="Arial" w:hAnsi="Arial" w:cs="Arial"/>
          <w:i/>
          <w:iCs/>
          <w:color w:val="000000"/>
          <w:sz w:val="16"/>
          <w:szCs w:val="16"/>
        </w:rPr>
        <w:t xml:space="preserve">Diet, Nutrition, Physical Activity and Cancer: a Global Perspective. </w:t>
      </w:r>
      <w:r w:rsidRPr="00ED6237">
        <w:rPr>
          <w:rFonts w:ascii="Arial" w:hAnsi="Arial" w:cs="Arial"/>
          <w:color w:val="000000"/>
          <w:sz w:val="16"/>
          <w:szCs w:val="16"/>
        </w:rPr>
        <w:t>Continuous Update Project Expert Report 2018. p8, of chapter Diet nutrition physical activity and colorectal cancer</w:t>
      </w:r>
    </w:p>
  </w:footnote>
  <w:footnote w:id="17">
    <w:p w14:paraId="0870D604" w14:textId="77777777" w:rsidR="009F1AD9" w:rsidRPr="00ED6237" w:rsidRDefault="009F1AD9" w:rsidP="009F1AD9">
      <w:pPr>
        <w:pStyle w:val="FootnoteText"/>
        <w:rPr>
          <w:rFonts w:ascii="Arial" w:hAnsi="Arial" w:cs="Arial"/>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Auckland City Mission, Shining the Light on Food Security in Aoteoroa, 2019. Auckland City Mission. </w:t>
      </w:r>
    </w:p>
  </w:footnote>
  <w:footnote w:id="18">
    <w:p w14:paraId="6BCF047C" w14:textId="77777777" w:rsidR="009F1AD9" w:rsidRPr="004E65C6" w:rsidRDefault="009F1AD9" w:rsidP="009F1AD9">
      <w:pPr>
        <w:spacing w:after="0"/>
        <w:rPr>
          <w:rFonts w:ascii="Arial" w:hAnsi="Arial" w:cs="Arial"/>
          <w:i/>
          <w:sz w:val="16"/>
          <w:szCs w:val="16"/>
        </w:rPr>
      </w:pPr>
      <w:r w:rsidRPr="00ED6237">
        <w:rPr>
          <w:rStyle w:val="FootnoteReference"/>
          <w:rFonts w:ascii="Arial" w:hAnsi="Arial" w:cs="Arial"/>
          <w:sz w:val="16"/>
          <w:szCs w:val="16"/>
        </w:rPr>
        <w:footnoteRef/>
      </w:r>
      <w:r w:rsidRPr="00ED6237">
        <w:rPr>
          <w:rFonts w:ascii="Arial" w:hAnsi="Arial" w:cs="Arial"/>
          <w:sz w:val="16"/>
          <w:szCs w:val="16"/>
        </w:rPr>
        <w:t xml:space="preserve"> Ministry of Health. Household Food Insecurity Among Children: New Zealand Health Survey: Summary of findings. 2019. Wellington: Ministry of Health.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395"/>
    <w:multiLevelType w:val="multilevel"/>
    <w:tmpl w:val="7C0A28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B13CA4"/>
    <w:multiLevelType w:val="hybridMultilevel"/>
    <w:tmpl w:val="3626D22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0EE49C9"/>
    <w:multiLevelType w:val="hybridMultilevel"/>
    <w:tmpl w:val="B0182852"/>
    <w:lvl w:ilvl="0" w:tplc="14090001">
      <w:start w:val="1"/>
      <w:numFmt w:val="bullet"/>
      <w:lvlText w:val=""/>
      <w:lvlJc w:val="left"/>
      <w:pPr>
        <w:ind w:left="755" w:hanging="360"/>
      </w:pPr>
      <w:rPr>
        <w:rFonts w:ascii="Symbol" w:hAnsi="Symbol" w:hint="default"/>
      </w:rPr>
    </w:lvl>
    <w:lvl w:ilvl="1" w:tplc="14090003" w:tentative="1">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3" w15:restartNumberingAfterBreak="0">
    <w:nsid w:val="00F73525"/>
    <w:multiLevelType w:val="hybridMultilevel"/>
    <w:tmpl w:val="3372003A"/>
    <w:lvl w:ilvl="0" w:tplc="65A4B5A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BC6FEC"/>
    <w:multiLevelType w:val="multilevel"/>
    <w:tmpl w:val="049A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75B63"/>
    <w:multiLevelType w:val="hybridMultilevel"/>
    <w:tmpl w:val="84681A7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780AF9"/>
    <w:multiLevelType w:val="hybridMultilevel"/>
    <w:tmpl w:val="F03CE55A"/>
    <w:lvl w:ilvl="0" w:tplc="CCDCD006">
      <w:start w:val="1"/>
      <w:numFmt w:val="lowerLetter"/>
      <w:lvlText w:val="%1)"/>
      <w:lvlJc w:val="left"/>
      <w:pPr>
        <w:ind w:left="720" w:hanging="360"/>
      </w:pPr>
      <w:rPr>
        <w:rFonts w:hint="default"/>
        <w:b/>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10F2242"/>
    <w:multiLevelType w:val="hybridMultilevel"/>
    <w:tmpl w:val="CF28BF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AC485E"/>
    <w:multiLevelType w:val="hybridMultilevel"/>
    <w:tmpl w:val="0B1E02B0"/>
    <w:lvl w:ilvl="0" w:tplc="7E24CC6C">
      <w:numFmt w:val="bullet"/>
      <w:lvlText w:val="•"/>
      <w:lvlJc w:val="left"/>
      <w:pPr>
        <w:ind w:left="672" w:hanging="672"/>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5093822"/>
    <w:multiLevelType w:val="hybridMultilevel"/>
    <w:tmpl w:val="B5E2458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5CF6B98"/>
    <w:multiLevelType w:val="multilevel"/>
    <w:tmpl w:val="7C0A28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8A07960"/>
    <w:multiLevelType w:val="hybridMultilevel"/>
    <w:tmpl w:val="4678FA02"/>
    <w:lvl w:ilvl="0" w:tplc="14090001">
      <w:start w:val="1"/>
      <w:numFmt w:val="bullet"/>
      <w:lvlText w:val=""/>
      <w:lvlJc w:val="left"/>
      <w:pPr>
        <w:ind w:left="672" w:hanging="672"/>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766CE5"/>
    <w:multiLevelType w:val="hybridMultilevel"/>
    <w:tmpl w:val="B0E6EE6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901C96"/>
    <w:multiLevelType w:val="multilevel"/>
    <w:tmpl w:val="BE0EC8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E200DE"/>
    <w:multiLevelType w:val="multilevel"/>
    <w:tmpl w:val="C32E4E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056D98"/>
    <w:multiLevelType w:val="hybridMultilevel"/>
    <w:tmpl w:val="48F44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59C0600"/>
    <w:multiLevelType w:val="hybridMultilevel"/>
    <w:tmpl w:val="DE702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D91ECD"/>
    <w:multiLevelType w:val="multilevel"/>
    <w:tmpl w:val="A990A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6431ED"/>
    <w:multiLevelType w:val="hybridMultilevel"/>
    <w:tmpl w:val="F312B67E"/>
    <w:lvl w:ilvl="0" w:tplc="5BA05CF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8F3EE5"/>
    <w:multiLevelType w:val="hybridMultilevel"/>
    <w:tmpl w:val="9B2EB662"/>
    <w:lvl w:ilvl="0" w:tplc="85D4823C">
      <w:start w:val="1"/>
      <w:numFmt w:val="decimal"/>
      <w:lvlText w:val="%1."/>
      <w:lvlJc w:val="left"/>
      <w:pPr>
        <w:ind w:left="720" w:hanging="360"/>
      </w:pPr>
      <w:rPr>
        <w:rFonts w:ascii="Arial" w:hAnsi="Arial" w:cs="Arial"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7069F9"/>
    <w:multiLevelType w:val="hybridMultilevel"/>
    <w:tmpl w:val="040205E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3C537FED"/>
    <w:multiLevelType w:val="hybridMultilevel"/>
    <w:tmpl w:val="86E8FF66"/>
    <w:lvl w:ilvl="0" w:tplc="10304B5C">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1644A7B"/>
    <w:multiLevelType w:val="hybridMultilevel"/>
    <w:tmpl w:val="FB72D8F0"/>
    <w:lvl w:ilvl="0" w:tplc="F1E21EE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1F47CBF"/>
    <w:multiLevelType w:val="hybridMultilevel"/>
    <w:tmpl w:val="439287C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34B5B90"/>
    <w:multiLevelType w:val="hybridMultilevel"/>
    <w:tmpl w:val="F81012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3F371D6"/>
    <w:multiLevelType w:val="hybridMultilevel"/>
    <w:tmpl w:val="1DE4FBEC"/>
    <w:lvl w:ilvl="0" w:tplc="A98AADFC">
      <w:start w:val="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F2025F"/>
    <w:multiLevelType w:val="hybridMultilevel"/>
    <w:tmpl w:val="5C325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BE14AF2"/>
    <w:multiLevelType w:val="hybridMultilevel"/>
    <w:tmpl w:val="C48A5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7A4CF7"/>
    <w:multiLevelType w:val="hybridMultilevel"/>
    <w:tmpl w:val="CBB22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5D21FED"/>
    <w:multiLevelType w:val="hybridMultilevel"/>
    <w:tmpl w:val="05EA2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7EA06A5"/>
    <w:multiLevelType w:val="hybridMultilevel"/>
    <w:tmpl w:val="8AAA2B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84E02AA"/>
    <w:multiLevelType w:val="hybridMultilevel"/>
    <w:tmpl w:val="8AAA2B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EC0D69"/>
    <w:multiLevelType w:val="hybridMultilevel"/>
    <w:tmpl w:val="D0F26364"/>
    <w:lvl w:ilvl="0" w:tplc="1FD48B84">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A53A52"/>
    <w:multiLevelType w:val="hybridMultilevel"/>
    <w:tmpl w:val="8AAA2BA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B6E466F"/>
    <w:multiLevelType w:val="hybridMultilevel"/>
    <w:tmpl w:val="7598B59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CAF6D62"/>
    <w:multiLevelType w:val="hybridMultilevel"/>
    <w:tmpl w:val="1C6E0CB0"/>
    <w:lvl w:ilvl="0" w:tplc="4170C8CA">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F33F14"/>
    <w:multiLevelType w:val="hybridMultilevel"/>
    <w:tmpl w:val="4A7C0E48"/>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37" w15:restartNumberingAfterBreak="0">
    <w:nsid w:val="60D80B9B"/>
    <w:multiLevelType w:val="hybridMultilevel"/>
    <w:tmpl w:val="41B66DAA"/>
    <w:lvl w:ilvl="0" w:tplc="2B5CD80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7806B8F"/>
    <w:multiLevelType w:val="hybridMultilevel"/>
    <w:tmpl w:val="3CB8BB1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85C6979"/>
    <w:multiLevelType w:val="hybridMultilevel"/>
    <w:tmpl w:val="84681A7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C5663B7"/>
    <w:multiLevelType w:val="hybridMultilevel"/>
    <w:tmpl w:val="333034C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C8B6A12"/>
    <w:multiLevelType w:val="hybridMultilevel"/>
    <w:tmpl w:val="B0E6EE6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35E2824"/>
    <w:multiLevelType w:val="hybridMultilevel"/>
    <w:tmpl w:val="57FA79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836037F"/>
    <w:multiLevelType w:val="hybridMultilevel"/>
    <w:tmpl w:val="93D86EA4"/>
    <w:lvl w:ilvl="0" w:tplc="7E24CC6C">
      <w:numFmt w:val="bullet"/>
      <w:lvlText w:val="•"/>
      <w:lvlJc w:val="left"/>
      <w:pPr>
        <w:ind w:left="672" w:hanging="672"/>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93D63BE"/>
    <w:multiLevelType w:val="hybridMultilevel"/>
    <w:tmpl w:val="7278EF30"/>
    <w:lvl w:ilvl="0" w:tplc="17D4A0C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B7D3828"/>
    <w:multiLevelType w:val="multilevel"/>
    <w:tmpl w:val="7C0A28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C1218D3"/>
    <w:multiLevelType w:val="singleLevel"/>
    <w:tmpl w:val="D42EA1EA"/>
    <w:lvl w:ilvl="0">
      <w:start w:val="1"/>
      <w:numFmt w:val="bullet"/>
      <w:lvlText w:val=""/>
      <w:lvlJc w:val="left"/>
      <w:pPr>
        <w:tabs>
          <w:tab w:val="num" w:pos="284"/>
        </w:tabs>
        <w:ind w:left="284" w:hanging="284"/>
      </w:pPr>
      <w:rPr>
        <w:rFonts w:ascii="Symbol" w:hAnsi="Symbol" w:hint="default"/>
        <w:sz w:val="18"/>
      </w:rPr>
    </w:lvl>
  </w:abstractNum>
  <w:abstractNum w:abstractNumId="47" w15:restartNumberingAfterBreak="0">
    <w:nsid w:val="7DD64F26"/>
    <w:multiLevelType w:val="multilevel"/>
    <w:tmpl w:val="6A546F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38"/>
  </w:num>
  <w:num w:numId="3">
    <w:abstractNumId w:val="44"/>
  </w:num>
  <w:num w:numId="4">
    <w:abstractNumId w:val="40"/>
  </w:num>
  <w:num w:numId="5">
    <w:abstractNumId w:val="20"/>
  </w:num>
  <w:num w:numId="6">
    <w:abstractNumId w:val="34"/>
  </w:num>
  <w:num w:numId="7">
    <w:abstractNumId w:val="6"/>
  </w:num>
  <w:num w:numId="8">
    <w:abstractNumId w:val="39"/>
  </w:num>
  <w:num w:numId="9">
    <w:abstractNumId w:val="47"/>
  </w:num>
  <w:num w:numId="10">
    <w:abstractNumId w:val="17"/>
  </w:num>
  <w:num w:numId="11">
    <w:abstractNumId w:val="22"/>
  </w:num>
  <w:num w:numId="12">
    <w:abstractNumId w:val="31"/>
  </w:num>
  <w:num w:numId="13">
    <w:abstractNumId w:val="14"/>
  </w:num>
  <w:num w:numId="14">
    <w:abstractNumId w:val="12"/>
  </w:num>
  <w:num w:numId="15">
    <w:abstractNumId w:val="1"/>
  </w:num>
  <w:num w:numId="16">
    <w:abstractNumId w:val="36"/>
  </w:num>
  <w:num w:numId="17">
    <w:abstractNumId w:val="25"/>
  </w:num>
  <w:num w:numId="18">
    <w:abstractNumId w:val="30"/>
  </w:num>
  <w:num w:numId="19">
    <w:abstractNumId w:val="33"/>
  </w:num>
  <w:num w:numId="20">
    <w:abstractNumId w:val="9"/>
  </w:num>
  <w:num w:numId="21">
    <w:abstractNumId w:val="5"/>
  </w:num>
  <w:num w:numId="22">
    <w:abstractNumId w:val="0"/>
  </w:num>
  <w:num w:numId="23">
    <w:abstractNumId w:val="2"/>
  </w:num>
  <w:num w:numId="24">
    <w:abstractNumId w:val="13"/>
  </w:num>
  <w:num w:numId="25">
    <w:abstractNumId w:val="45"/>
  </w:num>
  <w:num w:numId="26">
    <w:abstractNumId w:val="41"/>
  </w:num>
  <w:num w:numId="27">
    <w:abstractNumId w:val="3"/>
  </w:num>
  <w:num w:numId="28">
    <w:abstractNumId w:val="10"/>
  </w:num>
  <w:num w:numId="29">
    <w:abstractNumId w:val="28"/>
  </w:num>
  <w:num w:numId="30">
    <w:abstractNumId w:val="16"/>
  </w:num>
  <w:num w:numId="31">
    <w:abstractNumId w:val="18"/>
  </w:num>
  <w:num w:numId="32">
    <w:abstractNumId w:val="27"/>
  </w:num>
  <w:num w:numId="33">
    <w:abstractNumId w:val="26"/>
  </w:num>
  <w:num w:numId="34">
    <w:abstractNumId w:val="37"/>
  </w:num>
  <w:num w:numId="35">
    <w:abstractNumId w:val="15"/>
  </w:num>
  <w:num w:numId="36">
    <w:abstractNumId w:val="29"/>
  </w:num>
  <w:num w:numId="37">
    <w:abstractNumId w:val="8"/>
  </w:num>
  <w:num w:numId="38">
    <w:abstractNumId w:val="43"/>
  </w:num>
  <w:num w:numId="39">
    <w:abstractNumId w:val="11"/>
  </w:num>
  <w:num w:numId="40">
    <w:abstractNumId w:val="35"/>
  </w:num>
  <w:num w:numId="41">
    <w:abstractNumId w:val="21"/>
  </w:num>
  <w:num w:numId="42">
    <w:abstractNumId w:val="24"/>
  </w:num>
  <w:num w:numId="43">
    <w:abstractNumId w:val="19"/>
  </w:num>
  <w:num w:numId="44">
    <w:abstractNumId w:val="7"/>
  </w:num>
  <w:num w:numId="45">
    <w:abstractNumId w:val="46"/>
  </w:num>
  <w:num w:numId="46">
    <w:abstractNumId w:val="4"/>
  </w:num>
  <w:num w:numId="47">
    <w:abstractNumId w:val="42"/>
  </w:num>
  <w:num w:numId="4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C2"/>
    <w:rsid w:val="000018F9"/>
    <w:rsid w:val="00007BE8"/>
    <w:rsid w:val="0001246E"/>
    <w:rsid w:val="00020779"/>
    <w:rsid w:val="0002393B"/>
    <w:rsid w:val="00024B8A"/>
    <w:rsid w:val="00032274"/>
    <w:rsid w:val="00044858"/>
    <w:rsid w:val="00044B66"/>
    <w:rsid w:val="0004659E"/>
    <w:rsid w:val="000540E6"/>
    <w:rsid w:val="0005715B"/>
    <w:rsid w:val="00061EB2"/>
    <w:rsid w:val="0006606C"/>
    <w:rsid w:val="00066EB9"/>
    <w:rsid w:val="000712E9"/>
    <w:rsid w:val="00073295"/>
    <w:rsid w:val="00074A90"/>
    <w:rsid w:val="000826BD"/>
    <w:rsid w:val="000829CA"/>
    <w:rsid w:val="0009085C"/>
    <w:rsid w:val="00094643"/>
    <w:rsid w:val="00096869"/>
    <w:rsid w:val="00096AF8"/>
    <w:rsid w:val="000A4D22"/>
    <w:rsid w:val="000A6717"/>
    <w:rsid w:val="000A7990"/>
    <w:rsid w:val="000B1038"/>
    <w:rsid w:val="000B24FD"/>
    <w:rsid w:val="000B470E"/>
    <w:rsid w:val="000B5ED3"/>
    <w:rsid w:val="000C5FD7"/>
    <w:rsid w:val="000C6E8D"/>
    <w:rsid w:val="000E0A97"/>
    <w:rsid w:val="000E11FF"/>
    <w:rsid w:val="000E128A"/>
    <w:rsid w:val="000E662D"/>
    <w:rsid w:val="000F0B2E"/>
    <w:rsid w:val="000F0F0A"/>
    <w:rsid w:val="000F53FF"/>
    <w:rsid w:val="00105533"/>
    <w:rsid w:val="00105F07"/>
    <w:rsid w:val="00110356"/>
    <w:rsid w:val="00111C6E"/>
    <w:rsid w:val="00114550"/>
    <w:rsid w:val="00120067"/>
    <w:rsid w:val="00121BF8"/>
    <w:rsid w:val="001234A4"/>
    <w:rsid w:val="0012435C"/>
    <w:rsid w:val="001364A1"/>
    <w:rsid w:val="00147AA3"/>
    <w:rsid w:val="001511BD"/>
    <w:rsid w:val="00151781"/>
    <w:rsid w:val="00161FB1"/>
    <w:rsid w:val="00162C13"/>
    <w:rsid w:val="00162D00"/>
    <w:rsid w:val="00164BB9"/>
    <w:rsid w:val="001656BF"/>
    <w:rsid w:val="0016675F"/>
    <w:rsid w:val="00167ABA"/>
    <w:rsid w:val="0017104D"/>
    <w:rsid w:val="001718B1"/>
    <w:rsid w:val="00180151"/>
    <w:rsid w:val="00181A0C"/>
    <w:rsid w:val="0018222B"/>
    <w:rsid w:val="001843C0"/>
    <w:rsid w:val="0018775A"/>
    <w:rsid w:val="00187CB2"/>
    <w:rsid w:val="001907FD"/>
    <w:rsid w:val="00192ED6"/>
    <w:rsid w:val="00197B24"/>
    <w:rsid w:val="001A2900"/>
    <w:rsid w:val="001A4D3D"/>
    <w:rsid w:val="001B03FC"/>
    <w:rsid w:val="001B5243"/>
    <w:rsid w:val="001B7F3F"/>
    <w:rsid w:val="001C290F"/>
    <w:rsid w:val="001D118F"/>
    <w:rsid w:val="001D63BF"/>
    <w:rsid w:val="001E5733"/>
    <w:rsid w:val="001F2430"/>
    <w:rsid w:val="001F34F3"/>
    <w:rsid w:val="002061D1"/>
    <w:rsid w:val="00207375"/>
    <w:rsid w:val="00210452"/>
    <w:rsid w:val="002112E2"/>
    <w:rsid w:val="002118ED"/>
    <w:rsid w:val="00214AD8"/>
    <w:rsid w:val="00216FA2"/>
    <w:rsid w:val="00217821"/>
    <w:rsid w:val="0022372B"/>
    <w:rsid w:val="0022572E"/>
    <w:rsid w:val="00243562"/>
    <w:rsid w:val="002608B4"/>
    <w:rsid w:val="00261C6F"/>
    <w:rsid w:val="0026319B"/>
    <w:rsid w:val="002634A1"/>
    <w:rsid w:val="00264D53"/>
    <w:rsid w:val="00265F6B"/>
    <w:rsid w:val="00267556"/>
    <w:rsid w:val="0027132D"/>
    <w:rsid w:val="00274EEE"/>
    <w:rsid w:val="002756B7"/>
    <w:rsid w:val="00280189"/>
    <w:rsid w:val="0028197F"/>
    <w:rsid w:val="00282175"/>
    <w:rsid w:val="00282B7C"/>
    <w:rsid w:val="002839CA"/>
    <w:rsid w:val="0029196D"/>
    <w:rsid w:val="00292A4F"/>
    <w:rsid w:val="002A11B1"/>
    <w:rsid w:val="002A19EF"/>
    <w:rsid w:val="002A393D"/>
    <w:rsid w:val="002A70B5"/>
    <w:rsid w:val="002A7911"/>
    <w:rsid w:val="002B01CF"/>
    <w:rsid w:val="002B119F"/>
    <w:rsid w:val="002B526E"/>
    <w:rsid w:val="002B60D9"/>
    <w:rsid w:val="002C3C80"/>
    <w:rsid w:val="002C45A1"/>
    <w:rsid w:val="002C720F"/>
    <w:rsid w:val="002C7554"/>
    <w:rsid w:val="002D31C7"/>
    <w:rsid w:val="002D478D"/>
    <w:rsid w:val="002E0DE8"/>
    <w:rsid w:val="002F41AD"/>
    <w:rsid w:val="003056C6"/>
    <w:rsid w:val="00307341"/>
    <w:rsid w:val="00307730"/>
    <w:rsid w:val="00311EA3"/>
    <w:rsid w:val="00320B75"/>
    <w:rsid w:val="00321576"/>
    <w:rsid w:val="00321BF3"/>
    <w:rsid w:val="00322B47"/>
    <w:rsid w:val="0032356B"/>
    <w:rsid w:val="00331123"/>
    <w:rsid w:val="00335461"/>
    <w:rsid w:val="00336733"/>
    <w:rsid w:val="00340162"/>
    <w:rsid w:val="00340631"/>
    <w:rsid w:val="003463D7"/>
    <w:rsid w:val="0035222C"/>
    <w:rsid w:val="00354E4C"/>
    <w:rsid w:val="00360831"/>
    <w:rsid w:val="00360CE1"/>
    <w:rsid w:val="00363767"/>
    <w:rsid w:val="00367E0C"/>
    <w:rsid w:val="00367EA7"/>
    <w:rsid w:val="00372351"/>
    <w:rsid w:val="00386D71"/>
    <w:rsid w:val="00394764"/>
    <w:rsid w:val="00397703"/>
    <w:rsid w:val="003B4682"/>
    <w:rsid w:val="003C3B7D"/>
    <w:rsid w:val="003C3FA2"/>
    <w:rsid w:val="003C6A4A"/>
    <w:rsid w:val="003C6C7D"/>
    <w:rsid w:val="003D180C"/>
    <w:rsid w:val="003D3D52"/>
    <w:rsid w:val="003D54B2"/>
    <w:rsid w:val="003D6B37"/>
    <w:rsid w:val="003E0347"/>
    <w:rsid w:val="003E0F57"/>
    <w:rsid w:val="003E1169"/>
    <w:rsid w:val="003E30BF"/>
    <w:rsid w:val="003E4E0C"/>
    <w:rsid w:val="003E541D"/>
    <w:rsid w:val="003E6FFE"/>
    <w:rsid w:val="003F2D86"/>
    <w:rsid w:val="003F397B"/>
    <w:rsid w:val="003F70BF"/>
    <w:rsid w:val="004004C1"/>
    <w:rsid w:val="004025D6"/>
    <w:rsid w:val="00405DAE"/>
    <w:rsid w:val="00412AA2"/>
    <w:rsid w:val="00414DC1"/>
    <w:rsid w:val="00416C1F"/>
    <w:rsid w:val="00423709"/>
    <w:rsid w:val="004238C5"/>
    <w:rsid w:val="004250E5"/>
    <w:rsid w:val="00432CE8"/>
    <w:rsid w:val="004548CD"/>
    <w:rsid w:val="0045543D"/>
    <w:rsid w:val="004575A4"/>
    <w:rsid w:val="004608A4"/>
    <w:rsid w:val="00462302"/>
    <w:rsid w:val="00464AB8"/>
    <w:rsid w:val="00466F9F"/>
    <w:rsid w:val="00472972"/>
    <w:rsid w:val="00473602"/>
    <w:rsid w:val="00480915"/>
    <w:rsid w:val="00481B0C"/>
    <w:rsid w:val="00482330"/>
    <w:rsid w:val="00484711"/>
    <w:rsid w:val="004855BA"/>
    <w:rsid w:val="00487100"/>
    <w:rsid w:val="00490621"/>
    <w:rsid w:val="00492396"/>
    <w:rsid w:val="004A5DC7"/>
    <w:rsid w:val="004A7F53"/>
    <w:rsid w:val="004B302B"/>
    <w:rsid w:val="004C551F"/>
    <w:rsid w:val="004C5957"/>
    <w:rsid w:val="004C7883"/>
    <w:rsid w:val="004D5D04"/>
    <w:rsid w:val="004D5D69"/>
    <w:rsid w:val="004F16A0"/>
    <w:rsid w:val="004F1F22"/>
    <w:rsid w:val="004F265E"/>
    <w:rsid w:val="004F3354"/>
    <w:rsid w:val="004F3D74"/>
    <w:rsid w:val="004F526D"/>
    <w:rsid w:val="00501788"/>
    <w:rsid w:val="0050231A"/>
    <w:rsid w:val="00507A12"/>
    <w:rsid w:val="00512B73"/>
    <w:rsid w:val="00515E94"/>
    <w:rsid w:val="00520C5F"/>
    <w:rsid w:val="0052172D"/>
    <w:rsid w:val="0052305A"/>
    <w:rsid w:val="005305A6"/>
    <w:rsid w:val="00543F8B"/>
    <w:rsid w:val="00544405"/>
    <w:rsid w:val="00560EEA"/>
    <w:rsid w:val="00562D33"/>
    <w:rsid w:val="00566204"/>
    <w:rsid w:val="0057148E"/>
    <w:rsid w:val="00571DB5"/>
    <w:rsid w:val="00573ADE"/>
    <w:rsid w:val="005757BA"/>
    <w:rsid w:val="00577A70"/>
    <w:rsid w:val="00581E51"/>
    <w:rsid w:val="00582B28"/>
    <w:rsid w:val="0058582A"/>
    <w:rsid w:val="00586057"/>
    <w:rsid w:val="005862AC"/>
    <w:rsid w:val="005921B2"/>
    <w:rsid w:val="00593B9B"/>
    <w:rsid w:val="0059765B"/>
    <w:rsid w:val="005A523D"/>
    <w:rsid w:val="005A7B6D"/>
    <w:rsid w:val="005B3788"/>
    <w:rsid w:val="005C096F"/>
    <w:rsid w:val="005C3A18"/>
    <w:rsid w:val="005D184D"/>
    <w:rsid w:val="005D3778"/>
    <w:rsid w:val="005E0FED"/>
    <w:rsid w:val="005E4CF5"/>
    <w:rsid w:val="006014D2"/>
    <w:rsid w:val="006024F9"/>
    <w:rsid w:val="006030A4"/>
    <w:rsid w:val="0061101B"/>
    <w:rsid w:val="00611ACC"/>
    <w:rsid w:val="00614E3D"/>
    <w:rsid w:val="0063058B"/>
    <w:rsid w:val="00632417"/>
    <w:rsid w:val="00637704"/>
    <w:rsid w:val="0064151D"/>
    <w:rsid w:val="00644E73"/>
    <w:rsid w:val="00644FBC"/>
    <w:rsid w:val="00645641"/>
    <w:rsid w:val="0064579C"/>
    <w:rsid w:val="00646755"/>
    <w:rsid w:val="00647A19"/>
    <w:rsid w:val="00647DFA"/>
    <w:rsid w:val="006516CB"/>
    <w:rsid w:val="006572DA"/>
    <w:rsid w:val="00657A45"/>
    <w:rsid w:val="00660F51"/>
    <w:rsid w:val="00665599"/>
    <w:rsid w:val="006657C2"/>
    <w:rsid w:val="00665876"/>
    <w:rsid w:val="00667B73"/>
    <w:rsid w:val="00684342"/>
    <w:rsid w:val="006845B0"/>
    <w:rsid w:val="006850B1"/>
    <w:rsid w:val="00690591"/>
    <w:rsid w:val="00692227"/>
    <w:rsid w:val="00693B45"/>
    <w:rsid w:val="00694EBA"/>
    <w:rsid w:val="00694ED4"/>
    <w:rsid w:val="00694F61"/>
    <w:rsid w:val="006954E1"/>
    <w:rsid w:val="006A45C4"/>
    <w:rsid w:val="006A5FB3"/>
    <w:rsid w:val="006B1FE0"/>
    <w:rsid w:val="006B394C"/>
    <w:rsid w:val="006B5F38"/>
    <w:rsid w:val="006B6B93"/>
    <w:rsid w:val="006B726C"/>
    <w:rsid w:val="006B7748"/>
    <w:rsid w:val="006C2F0E"/>
    <w:rsid w:val="006C5282"/>
    <w:rsid w:val="006C72D5"/>
    <w:rsid w:val="006C740F"/>
    <w:rsid w:val="006D1263"/>
    <w:rsid w:val="006D2180"/>
    <w:rsid w:val="006D48C3"/>
    <w:rsid w:val="006D5690"/>
    <w:rsid w:val="006D57D4"/>
    <w:rsid w:val="006D6CD4"/>
    <w:rsid w:val="006E5518"/>
    <w:rsid w:val="006E5CC4"/>
    <w:rsid w:val="006E6ACE"/>
    <w:rsid w:val="006E6BFF"/>
    <w:rsid w:val="006F10DB"/>
    <w:rsid w:val="006F13BF"/>
    <w:rsid w:val="006F2F90"/>
    <w:rsid w:val="006F3272"/>
    <w:rsid w:val="006F4A0A"/>
    <w:rsid w:val="006F73D7"/>
    <w:rsid w:val="007031FA"/>
    <w:rsid w:val="007215C4"/>
    <w:rsid w:val="00722D82"/>
    <w:rsid w:val="00735465"/>
    <w:rsid w:val="00740154"/>
    <w:rsid w:val="00742F17"/>
    <w:rsid w:val="007444E2"/>
    <w:rsid w:val="00752548"/>
    <w:rsid w:val="00752E08"/>
    <w:rsid w:val="007615B4"/>
    <w:rsid w:val="00761F6A"/>
    <w:rsid w:val="00765A5A"/>
    <w:rsid w:val="00766208"/>
    <w:rsid w:val="00766FAD"/>
    <w:rsid w:val="00771ABD"/>
    <w:rsid w:val="007750E0"/>
    <w:rsid w:val="00780863"/>
    <w:rsid w:val="0078205A"/>
    <w:rsid w:val="00784911"/>
    <w:rsid w:val="007867C9"/>
    <w:rsid w:val="00790CDE"/>
    <w:rsid w:val="00791436"/>
    <w:rsid w:val="00795A88"/>
    <w:rsid w:val="007A0101"/>
    <w:rsid w:val="007A4BF9"/>
    <w:rsid w:val="007A5431"/>
    <w:rsid w:val="007B11D4"/>
    <w:rsid w:val="007B17EF"/>
    <w:rsid w:val="007B1A26"/>
    <w:rsid w:val="007C31C4"/>
    <w:rsid w:val="007C55F5"/>
    <w:rsid w:val="007D06DA"/>
    <w:rsid w:val="007D244B"/>
    <w:rsid w:val="007D6AC9"/>
    <w:rsid w:val="007E1A4A"/>
    <w:rsid w:val="007E32A3"/>
    <w:rsid w:val="007E38E7"/>
    <w:rsid w:val="007E6C23"/>
    <w:rsid w:val="007E7670"/>
    <w:rsid w:val="00800B20"/>
    <w:rsid w:val="008031AA"/>
    <w:rsid w:val="008033E1"/>
    <w:rsid w:val="008044A7"/>
    <w:rsid w:val="00806347"/>
    <w:rsid w:val="0081318E"/>
    <w:rsid w:val="00813E1F"/>
    <w:rsid w:val="00822286"/>
    <w:rsid w:val="00823F6F"/>
    <w:rsid w:val="00825965"/>
    <w:rsid w:val="00826390"/>
    <w:rsid w:val="00827811"/>
    <w:rsid w:val="00833E16"/>
    <w:rsid w:val="00836DA3"/>
    <w:rsid w:val="0083744B"/>
    <w:rsid w:val="008419D2"/>
    <w:rsid w:val="00841A48"/>
    <w:rsid w:val="0084254D"/>
    <w:rsid w:val="00844C63"/>
    <w:rsid w:val="008470E5"/>
    <w:rsid w:val="00847185"/>
    <w:rsid w:val="008507F3"/>
    <w:rsid w:val="00863FE2"/>
    <w:rsid w:val="00866D4C"/>
    <w:rsid w:val="00870E1D"/>
    <w:rsid w:val="0087126D"/>
    <w:rsid w:val="008740CA"/>
    <w:rsid w:val="00874331"/>
    <w:rsid w:val="00876FD7"/>
    <w:rsid w:val="008772F2"/>
    <w:rsid w:val="008803D5"/>
    <w:rsid w:val="00881419"/>
    <w:rsid w:val="00884782"/>
    <w:rsid w:val="00887DD3"/>
    <w:rsid w:val="00890848"/>
    <w:rsid w:val="00892D15"/>
    <w:rsid w:val="00893D85"/>
    <w:rsid w:val="008A1625"/>
    <w:rsid w:val="008B70BB"/>
    <w:rsid w:val="008C11D5"/>
    <w:rsid w:val="008D7494"/>
    <w:rsid w:val="008E00CC"/>
    <w:rsid w:val="008E12C2"/>
    <w:rsid w:val="008E2112"/>
    <w:rsid w:val="008E43F2"/>
    <w:rsid w:val="008E4C53"/>
    <w:rsid w:val="008E6238"/>
    <w:rsid w:val="008E6E47"/>
    <w:rsid w:val="008F1C53"/>
    <w:rsid w:val="008F4E73"/>
    <w:rsid w:val="008F6B36"/>
    <w:rsid w:val="008F74FF"/>
    <w:rsid w:val="00902D8A"/>
    <w:rsid w:val="009168D8"/>
    <w:rsid w:val="009259CF"/>
    <w:rsid w:val="00930780"/>
    <w:rsid w:val="00935AA0"/>
    <w:rsid w:val="00937BCA"/>
    <w:rsid w:val="009414C4"/>
    <w:rsid w:val="00950F3D"/>
    <w:rsid w:val="00951104"/>
    <w:rsid w:val="00951A14"/>
    <w:rsid w:val="00952A50"/>
    <w:rsid w:val="009541BC"/>
    <w:rsid w:val="00955374"/>
    <w:rsid w:val="0096207F"/>
    <w:rsid w:val="0096438E"/>
    <w:rsid w:val="009663C2"/>
    <w:rsid w:val="009701EC"/>
    <w:rsid w:val="00973131"/>
    <w:rsid w:val="00974141"/>
    <w:rsid w:val="009964B2"/>
    <w:rsid w:val="009A1EF0"/>
    <w:rsid w:val="009A2EB9"/>
    <w:rsid w:val="009B6875"/>
    <w:rsid w:val="009C25A0"/>
    <w:rsid w:val="009C7279"/>
    <w:rsid w:val="009D0606"/>
    <w:rsid w:val="009E406F"/>
    <w:rsid w:val="009F177D"/>
    <w:rsid w:val="009F1AD9"/>
    <w:rsid w:val="009F5AC1"/>
    <w:rsid w:val="009F795B"/>
    <w:rsid w:val="00A02270"/>
    <w:rsid w:val="00A16F1C"/>
    <w:rsid w:val="00A223D4"/>
    <w:rsid w:val="00A312FA"/>
    <w:rsid w:val="00A355CC"/>
    <w:rsid w:val="00A37CD1"/>
    <w:rsid w:val="00A51314"/>
    <w:rsid w:val="00A53996"/>
    <w:rsid w:val="00A53F4E"/>
    <w:rsid w:val="00A61C62"/>
    <w:rsid w:val="00A63B3E"/>
    <w:rsid w:val="00A64104"/>
    <w:rsid w:val="00A65248"/>
    <w:rsid w:val="00A731FE"/>
    <w:rsid w:val="00A748F0"/>
    <w:rsid w:val="00A762CB"/>
    <w:rsid w:val="00A83899"/>
    <w:rsid w:val="00A850F7"/>
    <w:rsid w:val="00A87585"/>
    <w:rsid w:val="00A91917"/>
    <w:rsid w:val="00A92565"/>
    <w:rsid w:val="00A94E49"/>
    <w:rsid w:val="00A95AEF"/>
    <w:rsid w:val="00A96FED"/>
    <w:rsid w:val="00AA10AE"/>
    <w:rsid w:val="00AA199F"/>
    <w:rsid w:val="00AA1D9E"/>
    <w:rsid w:val="00AA3DF5"/>
    <w:rsid w:val="00AA5284"/>
    <w:rsid w:val="00AA663F"/>
    <w:rsid w:val="00AC0F21"/>
    <w:rsid w:val="00AC2392"/>
    <w:rsid w:val="00AC3426"/>
    <w:rsid w:val="00AC625A"/>
    <w:rsid w:val="00AC6FC1"/>
    <w:rsid w:val="00AD1878"/>
    <w:rsid w:val="00AD1AEC"/>
    <w:rsid w:val="00AD3367"/>
    <w:rsid w:val="00AD627A"/>
    <w:rsid w:val="00AE02D2"/>
    <w:rsid w:val="00AE23BD"/>
    <w:rsid w:val="00AF1FA2"/>
    <w:rsid w:val="00AF6678"/>
    <w:rsid w:val="00B01938"/>
    <w:rsid w:val="00B01E5D"/>
    <w:rsid w:val="00B02378"/>
    <w:rsid w:val="00B03211"/>
    <w:rsid w:val="00B03678"/>
    <w:rsid w:val="00B16A31"/>
    <w:rsid w:val="00B21158"/>
    <w:rsid w:val="00B23DC4"/>
    <w:rsid w:val="00B31D23"/>
    <w:rsid w:val="00B32CBB"/>
    <w:rsid w:val="00B36EEE"/>
    <w:rsid w:val="00B40707"/>
    <w:rsid w:val="00B41D96"/>
    <w:rsid w:val="00B430F6"/>
    <w:rsid w:val="00B4442B"/>
    <w:rsid w:val="00B54366"/>
    <w:rsid w:val="00B579B4"/>
    <w:rsid w:val="00B6006E"/>
    <w:rsid w:val="00B65DA1"/>
    <w:rsid w:val="00B71BFF"/>
    <w:rsid w:val="00B73128"/>
    <w:rsid w:val="00B87B3F"/>
    <w:rsid w:val="00B87D45"/>
    <w:rsid w:val="00B91E42"/>
    <w:rsid w:val="00BA0540"/>
    <w:rsid w:val="00BA1B84"/>
    <w:rsid w:val="00BA2CA9"/>
    <w:rsid w:val="00BA6497"/>
    <w:rsid w:val="00BA7DAC"/>
    <w:rsid w:val="00BC119A"/>
    <w:rsid w:val="00BC7A17"/>
    <w:rsid w:val="00BD16BC"/>
    <w:rsid w:val="00BD2691"/>
    <w:rsid w:val="00BD55CE"/>
    <w:rsid w:val="00BE0650"/>
    <w:rsid w:val="00BE4322"/>
    <w:rsid w:val="00BE4E7D"/>
    <w:rsid w:val="00BF110B"/>
    <w:rsid w:val="00BF4125"/>
    <w:rsid w:val="00BF5CB8"/>
    <w:rsid w:val="00C03B8A"/>
    <w:rsid w:val="00C05A54"/>
    <w:rsid w:val="00C06B1E"/>
    <w:rsid w:val="00C222BA"/>
    <w:rsid w:val="00C23648"/>
    <w:rsid w:val="00C3375F"/>
    <w:rsid w:val="00C36D71"/>
    <w:rsid w:val="00C50A98"/>
    <w:rsid w:val="00C53EEF"/>
    <w:rsid w:val="00C62196"/>
    <w:rsid w:val="00C66DD2"/>
    <w:rsid w:val="00C7480C"/>
    <w:rsid w:val="00C75B4C"/>
    <w:rsid w:val="00C86E28"/>
    <w:rsid w:val="00C87137"/>
    <w:rsid w:val="00C93B73"/>
    <w:rsid w:val="00CA3F71"/>
    <w:rsid w:val="00CA3FF1"/>
    <w:rsid w:val="00CA461C"/>
    <w:rsid w:val="00CA49C7"/>
    <w:rsid w:val="00CA6EFA"/>
    <w:rsid w:val="00CA7D61"/>
    <w:rsid w:val="00CB4D72"/>
    <w:rsid w:val="00CC42C1"/>
    <w:rsid w:val="00CC68E2"/>
    <w:rsid w:val="00CC76C6"/>
    <w:rsid w:val="00CE0C27"/>
    <w:rsid w:val="00CE4D84"/>
    <w:rsid w:val="00CE699B"/>
    <w:rsid w:val="00CE6C76"/>
    <w:rsid w:val="00CE6D60"/>
    <w:rsid w:val="00CE6FC7"/>
    <w:rsid w:val="00CF56EA"/>
    <w:rsid w:val="00CF5755"/>
    <w:rsid w:val="00CF5988"/>
    <w:rsid w:val="00CF68A0"/>
    <w:rsid w:val="00D0261F"/>
    <w:rsid w:val="00D10239"/>
    <w:rsid w:val="00D14355"/>
    <w:rsid w:val="00D17D20"/>
    <w:rsid w:val="00D254F5"/>
    <w:rsid w:val="00D25883"/>
    <w:rsid w:val="00D25AF7"/>
    <w:rsid w:val="00D3107B"/>
    <w:rsid w:val="00D31A7A"/>
    <w:rsid w:val="00D368FF"/>
    <w:rsid w:val="00D44035"/>
    <w:rsid w:val="00D46404"/>
    <w:rsid w:val="00D464D6"/>
    <w:rsid w:val="00D47C15"/>
    <w:rsid w:val="00D5102A"/>
    <w:rsid w:val="00D54B95"/>
    <w:rsid w:val="00D57846"/>
    <w:rsid w:val="00D63F6A"/>
    <w:rsid w:val="00D67BE7"/>
    <w:rsid w:val="00D765B2"/>
    <w:rsid w:val="00D8598C"/>
    <w:rsid w:val="00D8764F"/>
    <w:rsid w:val="00D87CB3"/>
    <w:rsid w:val="00D91678"/>
    <w:rsid w:val="00D93681"/>
    <w:rsid w:val="00DA1DE1"/>
    <w:rsid w:val="00DA3424"/>
    <w:rsid w:val="00DA4E93"/>
    <w:rsid w:val="00DA5B82"/>
    <w:rsid w:val="00DA672F"/>
    <w:rsid w:val="00DC0F44"/>
    <w:rsid w:val="00DC6994"/>
    <w:rsid w:val="00DD03B3"/>
    <w:rsid w:val="00DD2DD9"/>
    <w:rsid w:val="00DD4BA8"/>
    <w:rsid w:val="00DE038D"/>
    <w:rsid w:val="00DE0837"/>
    <w:rsid w:val="00DE0C59"/>
    <w:rsid w:val="00DE1400"/>
    <w:rsid w:val="00DE1EBF"/>
    <w:rsid w:val="00DE233A"/>
    <w:rsid w:val="00DE3D82"/>
    <w:rsid w:val="00DE7089"/>
    <w:rsid w:val="00DF196D"/>
    <w:rsid w:val="00DF3D14"/>
    <w:rsid w:val="00E01718"/>
    <w:rsid w:val="00E11117"/>
    <w:rsid w:val="00E17A79"/>
    <w:rsid w:val="00E274FE"/>
    <w:rsid w:val="00E34F53"/>
    <w:rsid w:val="00E35809"/>
    <w:rsid w:val="00E41A3F"/>
    <w:rsid w:val="00E57CCE"/>
    <w:rsid w:val="00E60AB4"/>
    <w:rsid w:val="00E6297F"/>
    <w:rsid w:val="00E677CA"/>
    <w:rsid w:val="00E7211F"/>
    <w:rsid w:val="00E722FC"/>
    <w:rsid w:val="00E76E65"/>
    <w:rsid w:val="00E80776"/>
    <w:rsid w:val="00E84C9D"/>
    <w:rsid w:val="00E85F46"/>
    <w:rsid w:val="00E864F3"/>
    <w:rsid w:val="00E914D1"/>
    <w:rsid w:val="00E95D51"/>
    <w:rsid w:val="00E962CC"/>
    <w:rsid w:val="00E97474"/>
    <w:rsid w:val="00EA0EBB"/>
    <w:rsid w:val="00EA2FEA"/>
    <w:rsid w:val="00EA7C8B"/>
    <w:rsid w:val="00EB5B39"/>
    <w:rsid w:val="00EC2E49"/>
    <w:rsid w:val="00EC4CC0"/>
    <w:rsid w:val="00ED2ED3"/>
    <w:rsid w:val="00ED3ED5"/>
    <w:rsid w:val="00ED6081"/>
    <w:rsid w:val="00EE24F6"/>
    <w:rsid w:val="00EF7C70"/>
    <w:rsid w:val="00EF7C71"/>
    <w:rsid w:val="00F032AC"/>
    <w:rsid w:val="00F07807"/>
    <w:rsid w:val="00F11801"/>
    <w:rsid w:val="00F12430"/>
    <w:rsid w:val="00F17E3A"/>
    <w:rsid w:val="00F17FDF"/>
    <w:rsid w:val="00F20C15"/>
    <w:rsid w:val="00F22A98"/>
    <w:rsid w:val="00F23130"/>
    <w:rsid w:val="00F335DF"/>
    <w:rsid w:val="00F34A8B"/>
    <w:rsid w:val="00F3513B"/>
    <w:rsid w:val="00F45BDF"/>
    <w:rsid w:val="00F46A1D"/>
    <w:rsid w:val="00F46F1C"/>
    <w:rsid w:val="00F56BC8"/>
    <w:rsid w:val="00F57A7F"/>
    <w:rsid w:val="00F57C34"/>
    <w:rsid w:val="00F60C72"/>
    <w:rsid w:val="00F66F17"/>
    <w:rsid w:val="00F81D44"/>
    <w:rsid w:val="00F874AF"/>
    <w:rsid w:val="00F9464F"/>
    <w:rsid w:val="00FB02D6"/>
    <w:rsid w:val="00FB227B"/>
    <w:rsid w:val="00FB4DD4"/>
    <w:rsid w:val="00FB5B38"/>
    <w:rsid w:val="00FC052E"/>
    <w:rsid w:val="00FC4001"/>
    <w:rsid w:val="00FC439C"/>
    <w:rsid w:val="00FD1DC0"/>
    <w:rsid w:val="00FD460D"/>
    <w:rsid w:val="00FD5772"/>
    <w:rsid w:val="00FD7E87"/>
    <w:rsid w:val="00FE4696"/>
    <w:rsid w:val="00FE4E71"/>
    <w:rsid w:val="00FE5B18"/>
    <w:rsid w:val="00FE77AB"/>
    <w:rsid w:val="00FF616B"/>
    <w:rsid w:val="5D22F74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C031"/>
  <w15:docId w15:val="{0E2CF5D8-C743-40D9-8F1B-A626F896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BA"/>
  </w:style>
  <w:style w:type="paragraph" w:styleId="Heading2">
    <w:name w:val="heading 2"/>
    <w:basedOn w:val="Normal"/>
    <w:next w:val="Normal"/>
    <w:link w:val="Heading2Char"/>
    <w:uiPriority w:val="9"/>
    <w:unhideWhenUsed/>
    <w:qFormat/>
    <w:rsid w:val="00E91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68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7C2"/>
    <w:rPr>
      <w:color w:val="0000FF" w:themeColor="hyperlink"/>
      <w:u w:val="single"/>
    </w:rPr>
  </w:style>
  <w:style w:type="paragraph" w:styleId="ListParagraph">
    <w:name w:val="List Paragraph"/>
    <w:aliases w:val="Rec para"/>
    <w:basedOn w:val="Normal"/>
    <w:link w:val="ListParagraphChar"/>
    <w:uiPriority w:val="34"/>
    <w:qFormat/>
    <w:rsid w:val="00B41D96"/>
    <w:pPr>
      <w:ind w:left="720"/>
      <w:contextualSpacing/>
    </w:pPr>
  </w:style>
  <w:style w:type="paragraph" w:styleId="FootnoteText">
    <w:name w:val="footnote text"/>
    <w:basedOn w:val="Normal"/>
    <w:link w:val="FootnoteTextChar"/>
    <w:semiHidden/>
    <w:unhideWhenUsed/>
    <w:rsid w:val="00B41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D96"/>
    <w:rPr>
      <w:sz w:val="20"/>
      <w:szCs w:val="20"/>
    </w:rPr>
  </w:style>
  <w:style w:type="character" w:styleId="FootnoteReference">
    <w:name w:val="footnote reference"/>
    <w:basedOn w:val="DefaultParagraphFont"/>
    <w:unhideWhenUsed/>
    <w:rsid w:val="00B41D96"/>
    <w:rPr>
      <w:vertAlign w:val="superscript"/>
    </w:rPr>
  </w:style>
  <w:style w:type="paragraph" w:styleId="NormalWeb">
    <w:name w:val="Normal (Web)"/>
    <w:basedOn w:val="Normal"/>
    <w:uiPriority w:val="99"/>
    <w:semiHidden/>
    <w:unhideWhenUsed/>
    <w:rsid w:val="00A9256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E914D1"/>
    <w:rPr>
      <w:rFonts w:asciiTheme="majorHAnsi" w:eastAsiaTheme="majorEastAsia" w:hAnsiTheme="majorHAnsi" w:cstheme="majorBidi"/>
      <w:b/>
      <w:bCs/>
      <w:color w:val="4F81BD" w:themeColor="accent1"/>
      <w:sz w:val="26"/>
      <w:szCs w:val="26"/>
    </w:rPr>
  </w:style>
  <w:style w:type="paragraph" w:customStyle="1" w:styleId="NoSpacing1">
    <w:name w:val="No Spacing1"/>
    <w:basedOn w:val="Normal"/>
    <w:uiPriority w:val="99"/>
    <w:rsid w:val="00E914D1"/>
    <w:pPr>
      <w:spacing w:after="0" w:line="240" w:lineRule="auto"/>
    </w:pPr>
    <w:rPr>
      <w:rFonts w:ascii="Verdana" w:hAnsi="Verdana" w:cs="Times New Roman"/>
      <w:sz w:val="20"/>
      <w:szCs w:val="20"/>
      <w:lang w:eastAsia="en-NZ"/>
    </w:rPr>
  </w:style>
  <w:style w:type="paragraph" w:styleId="BalloonText">
    <w:name w:val="Balloon Text"/>
    <w:basedOn w:val="Normal"/>
    <w:link w:val="BalloonTextChar"/>
    <w:uiPriority w:val="99"/>
    <w:semiHidden/>
    <w:unhideWhenUsed/>
    <w:rsid w:val="0064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55"/>
    <w:rPr>
      <w:rFonts w:ascii="Tahoma" w:hAnsi="Tahoma" w:cs="Tahoma"/>
      <w:sz w:val="16"/>
      <w:szCs w:val="16"/>
    </w:rPr>
  </w:style>
  <w:style w:type="paragraph" w:styleId="Header">
    <w:name w:val="header"/>
    <w:basedOn w:val="Normal"/>
    <w:link w:val="HeaderChar"/>
    <w:uiPriority w:val="99"/>
    <w:unhideWhenUsed/>
    <w:rsid w:val="0064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55"/>
  </w:style>
  <w:style w:type="paragraph" w:styleId="Footer">
    <w:name w:val="footer"/>
    <w:basedOn w:val="Normal"/>
    <w:link w:val="FooterChar"/>
    <w:uiPriority w:val="99"/>
    <w:unhideWhenUsed/>
    <w:rsid w:val="0064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55"/>
  </w:style>
  <w:style w:type="paragraph" w:customStyle="1" w:styleId="Level2Heading">
    <w:name w:val="Level 2 Heading"/>
    <w:basedOn w:val="Normal"/>
    <w:next w:val="Normal"/>
    <w:rsid w:val="00646755"/>
    <w:pPr>
      <w:spacing w:after="0" w:line="240" w:lineRule="auto"/>
    </w:pPr>
    <w:rPr>
      <w:rFonts w:ascii="Tahoma" w:eastAsia="Times New Roman" w:hAnsi="Tahoma" w:cs="Times New Roman"/>
      <w:color w:val="000080"/>
      <w:sz w:val="30"/>
      <w:szCs w:val="20"/>
    </w:rPr>
  </w:style>
  <w:style w:type="character" w:styleId="CommentReference">
    <w:name w:val="annotation reference"/>
    <w:basedOn w:val="DefaultParagraphFont"/>
    <w:uiPriority w:val="99"/>
    <w:semiHidden/>
    <w:unhideWhenUsed/>
    <w:rsid w:val="005A7B6D"/>
    <w:rPr>
      <w:sz w:val="18"/>
      <w:szCs w:val="18"/>
    </w:rPr>
  </w:style>
  <w:style w:type="paragraph" w:styleId="CommentText">
    <w:name w:val="annotation text"/>
    <w:basedOn w:val="Normal"/>
    <w:link w:val="CommentTextChar"/>
    <w:uiPriority w:val="99"/>
    <w:semiHidden/>
    <w:unhideWhenUsed/>
    <w:rsid w:val="005A7B6D"/>
    <w:pPr>
      <w:spacing w:line="240" w:lineRule="auto"/>
    </w:pPr>
    <w:rPr>
      <w:sz w:val="24"/>
      <w:szCs w:val="24"/>
    </w:rPr>
  </w:style>
  <w:style w:type="character" w:customStyle="1" w:styleId="CommentTextChar">
    <w:name w:val="Comment Text Char"/>
    <w:basedOn w:val="DefaultParagraphFont"/>
    <w:link w:val="CommentText"/>
    <w:uiPriority w:val="99"/>
    <w:semiHidden/>
    <w:rsid w:val="005A7B6D"/>
    <w:rPr>
      <w:sz w:val="24"/>
      <w:szCs w:val="24"/>
    </w:rPr>
  </w:style>
  <w:style w:type="paragraph" w:styleId="CommentSubject">
    <w:name w:val="annotation subject"/>
    <w:basedOn w:val="CommentText"/>
    <w:next w:val="CommentText"/>
    <w:link w:val="CommentSubjectChar"/>
    <w:uiPriority w:val="99"/>
    <w:semiHidden/>
    <w:unhideWhenUsed/>
    <w:rsid w:val="005A7B6D"/>
    <w:rPr>
      <w:b/>
      <w:bCs/>
      <w:sz w:val="20"/>
      <w:szCs w:val="20"/>
    </w:rPr>
  </w:style>
  <w:style w:type="character" w:customStyle="1" w:styleId="CommentSubjectChar">
    <w:name w:val="Comment Subject Char"/>
    <w:basedOn w:val="CommentTextChar"/>
    <w:link w:val="CommentSubject"/>
    <w:uiPriority w:val="99"/>
    <w:semiHidden/>
    <w:rsid w:val="005A7B6D"/>
    <w:rPr>
      <w:b/>
      <w:bCs/>
      <w:sz w:val="20"/>
      <w:szCs w:val="20"/>
    </w:rPr>
  </w:style>
  <w:style w:type="character" w:customStyle="1" w:styleId="Heading3Char">
    <w:name w:val="Heading 3 Char"/>
    <w:basedOn w:val="DefaultParagraphFont"/>
    <w:link w:val="Heading3"/>
    <w:uiPriority w:val="9"/>
    <w:rsid w:val="009B6875"/>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87B3F"/>
    <w:pPr>
      <w:widowControl w:val="0"/>
      <w:autoSpaceDE w:val="0"/>
      <w:autoSpaceDN w:val="0"/>
      <w:spacing w:after="240" w:line="288" w:lineRule="auto"/>
    </w:pPr>
    <w:rPr>
      <w:rFonts w:ascii="Arial" w:eastAsia="Trade Gothic LT Std" w:hAnsi="Arial" w:cs="Trade Gothic LT Std"/>
      <w:sz w:val="20"/>
      <w:szCs w:val="20"/>
      <w:lang w:bidi="en-US"/>
    </w:rPr>
  </w:style>
  <w:style w:type="character" w:customStyle="1" w:styleId="BodyTextChar">
    <w:name w:val="Body Text Char"/>
    <w:basedOn w:val="DefaultParagraphFont"/>
    <w:link w:val="BodyText"/>
    <w:uiPriority w:val="1"/>
    <w:rsid w:val="00B87B3F"/>
    <w:rPr>
      <w:rFonts w:ascii="Arial" w:eastAsia="Trade Gothic LT Std" w:hAnsi="Arial" w:cs="Trade Gothic LT Std"/>
      <w:sz w:val="20"/>
      <w:szCs w:val="20"/>
      <w:lang w:bidi="en-US"/>
    </w:rPr>
  </w:style>
  <w:style w:type="paragraph" w:customStyle="1" w:styleId="Bullets">
    <w:name w:val="Bullets"/>
    <w:basedOn w:val="Normal"/>
    <w:rsid w:val="000018F9"/>
    <w:pPr>
      <w:numPr>
        <w:numId w:val="40"/>
      </w:numPr>
      <w:spacing w:after="120" w:line="288" w:lineRule="auto"/>
      <w:ind w:left="714" w:hanging="357"/>
      <w:contextualSpacing/>
    </w:pPr>
    <w:rPr>
      <w:rFonts w:ascii="Archer Book" w:eastAsia="Times New Roman" w:hAnsi="Archer Book" w:cs="Arial"/>
      <w:iCs/>
      <w:color w:val="000000"/>
      <w:spacing w:val="-4"/>
      <w:lang w:eastAsia="en-GB"/>
    </w:rPr>
  </w:style>
  <w:style w:type="paragraph" w:customStyle="1" w:styleId="Title1">
    <w:name w:val="Title 1"/>
    <w:basedOn w:val="Normal"/>
    <w:rsid w:val="000018F9"/>
    <w:pPr>
      <w:tabs>
        <w:tab w:val="left" w:pos="10620"/>
      </w:tabs>
      <w:spacing w:after="0" w:line="240" w:lineRule="auto"/>
      <w:ind w:left="1440" w:right="-101"/>
    </w:pPr>
    <w:rPr>
      <w:rFonts w:ascii="Archer Semibold" w:eastAsia="Times New Roman" w:hAnsi="Archer Semibold" w:cs="Arial"/>
      <w:color w:val="FFFFFF"/>
      <w:sz w:val="72"/>
      <w:szCs w:val="72"/>
      <w:lang w:eastAsia="en-GB"/>
    </w:rPr>
  </w:style>
  <w:style w:type="character" w:customStyle="1" w:styleId="ListParagraphChar">
    <w:name w:val="List Paragraph Char"/>
    <w:aliases w:val="Rec para Char"/>
    <w:basedOn w:val="DefaultParagraphFont"/>
    <w:link w:val="ListParagraph"/>
    <w:uiPriority w:val="34"/>
    <w:rsid w:val="00C222BA"/>
  </w:style>
  <w:style w:type="paragraph" w:customStyle="1" w:styleId="Bullet">
    <w:name w:val="Bullet"/>
    <w:basedOn w:val="Normal"/>
    <w:autoRedefine/>
    <w:qFormat/>
    <w:rsid w:val="00735465"/>
    <w:pPr>
      <w:tabs>
        <w:tab w:val="num" w:pos="284"/>
      </w:tabs>
      <w:spacing w:before="90" w:after="0" w:line="288" w:lineRule="auto"/>
      <w:ind w:left="284" w:hanging="284"/>
    </w:pPr>
    <w:rPr>
      <w:rFonts w:ascii="Arial" w:eastAsia="Times New Roman" w:hAnsi="Arial" w:cs="Times New Roman"/>
      <w:szCs w:val="20"/>
      <w:lang w:eastAsia="en-GB"/>
    </w:rPr>
  </w:style>
  <w:style w:type="character" w:customStyle="1" w:styleId="apple-converted-space">
    <w:name w:val="apple-converted-space"/>
    <w:basedOn w:val="DefaultParagraphFont"/>
    <w:rsid w:val="009F1AD9"/>
  </w:style>
  <w:style w:type="character" w:styleId="FollowedHyperlink">
    <w:name w:val="FollowedHyperlink"/>
    <w:basedOn w:val="DefaultParagraphFont"/>
    <w:uiPriority w:val="99"/>
    <w:semiHidden/>
    <w:unhideWhenUsed/>
    <w:rsid w:val="003B4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5478">
      <w:bodyDiv w:val="1"/>
      <w:marLeft w:val="0"/>
      <w:marRight w:val="0"/>
      <w:marTop w:val="0"/>
      <w:marBottom w:val="0"/>
      <w:divBdr>
        <w:top w:val="none" w:sz="0" w:space="0" w:color="auto"/>
        <w:left w:val="none" w:sz="0" w:space="0" w:color="auto"/>
        <w:bottom w:val="none" w:sz="0" w:space="0" w:color="auto"/>
        <w:right w:val="none" w:sz="0" w:space="0" w:color="auto"/>
      </w:divBdr>
    </w:div>
    <w:div w:id="460611041">
      <w:bodyDiv w:val="1"/>
      <w:marLeft w:val="0"/>
      <w:marRight w:val="0"/>
      <w:marTop w:val="0"/>
      <w:marBottom w:val="0"/>
      <w:divBdr>
        <w:top w:val="none" w:sz="0" w:space="0" w:color="auto"/>
        <w:left w:val="none" w:sz="0" w:space="0" w:color="auto"/>
        <w:bottom w:val="none" w:sz="0" w:space="0" w:color="auto"/>
        <w:right w:val="none" w:sz="0" w:space="0" w:color="auto"/>
      </w:divBdr>
    </w:div>
    <w:div w:id="1126463132">
      <w:bodyDiv w:val="1"/>
      <w:marLeft w:val="0"/>
      <w:marRight w:val="0"/>
      <w:marTop w:val="0"/>
      <w:marBottom w:val="0"/>
      <w:divBdr>
        <w:top w:val="none" w:sz="0" w:space="0" w:color="auto"/>
        <w:left w:val="none" w:sz="0" w:space="0" w:color="auto"/>
        <w:bottom w:val="none" w:sz="0" w:space="0" w:color="auto"/>
        <w:right w:val="none" w:sz="0" w:space="0" w:color="auto"/>
      </w:divBdr>
      <w:divsChild>
        <w:div w:id="844637078">
          <w:marLeft w:val="0"/>
          <w:marRight w:val="0"/>
          <w:marTop w:val="0"/>
          <w:marBottom w:val="0"/>
          <w:divBdr>
            <w:top w:val="none" w:sz="0" w:space="0" w:color="auto"/>
            <w:left w:val="none" w:sz="0" w:space="0" w:color="auto"/>
            <w:bottom w:val="none" w:sz="0" w:space="0" w:color="auto"/>
            <w:right w:val="none" w:sz="0" w:space="0" w:color="auto"/>
          </w:divBdr>
          <w:divsChild>
            <w:div w:id="2080637987">
              <w:marLeft w:val="0"/>
              <w:marRight w:val="0"/>
              <w:marTop w:val="0"/>
              <w:marBottom w:val="0"/>
              <w:divBdr>
                <w:top w:val="none" w:sz="0" w:space="0" w:color="auto"/>
                <w:left w:val="none" w:sz="0" w:space="0" w:color="auto"/>
                <w:bottom w:val="none" w:sz="0" w:space="0" w:color="auto"/>
                <w:right w:val="none" w:sz="0" w:space="0" w:color="auto"/>
              </w:divBdr>
              <w:divsChild>
                <w:div w:id="195703925">
                  <w:marLeft w:val="0"/>
                  <w:marRight w:val="0"/>
                  <w:marTop w:val="0"/>
                  <w:marBottom w:val="0"/>
                  <w:divBdr>
                    <w:top w:val="none" w:sz="0" w:space="0" w:color="auto"/>
                    <w:left w:val="none" w:sz="0" w:space="0" w:color="auto"/>
                    <w:bottom w:val="none" w:sz="0" w:space="0" w:color="auto"/>
                    <w:right w:val="none" w:sz="0" w:space="0" w:color="auto"/>
                  </w:divBdr>
                  <w:divsChild>
                    <w:div w:id="451367001">
                      <w:marLeft w:val="-225"/>
                      <w:marRight w:val="-225"/>
                      <w:marTop w:val="0"/>
                      <w:marBottom w:val="0"/>
                      <w:divBdr>
                        <w:top w:val="none" w:sz="0" w:space="0" w:color="auto"/>
                        <w:left w:val="none" w:sz="0" w:space="0" w:color="auto"/>
                        <w:bottom w:val="none" w:sz="0" w:space="0" w:color="auto"/>
                        <w:right w:val="none" w:sz="0" w:space="0" w:color="auto"/>
                      </w:divBdr>
                      <w:divsChild>
                        <w:div w:id="182480327">
                          <w:marLeft w:val="0"/>
                          <w:marRight w:val="0"/>
                          <w:marTop w:val="0"/>
                          <w:marBottom w:val="0"/>
                          <w:divBdr>
                            <w:top w:val="none" w:sz="0" w:space="0" w:color="auto"/>
                            <w:left w:val="none" w:sz="0" w:space="0" w:color="auto"/>
                            <w:bottom w:val="none" w:sz="0" w:space="0" w:color="auto"/>
                            <w:right w:val="none" w:sz="0" w:space="0" w:color="auto"/>
                          </w:divBdr>
                          <w:divsChild>
                            <w:div w:id="1810054435">
                              <w:marLeft w:val="0"/>
                              <w:marRight w:val="0"/>
                              <w:marTop w:val="0"/>
                              <w:marBottom w:val="0"/>
                              <w:divBdr>
                                <w:top w:val="none" w:sz="0" w:space="0" w:color="auto"/>
                                <w:left w:val="none" w:sz="0" w:space="0" w:color="auto"/>
                                <w:bottom w:val="none" w:sz="0" w:space="0" w:color="auto"/>
                                <w:right w:val="none" w:sz="0" w:space="0" w:color="auto"/>
                              </w:divBdr>
                              <w:divsChild>
                                <w:div w:id="182742533">
                                  <w:marLeft w:val="-225"/>
                                  <w:marRight w:val="-225"/>
                                  <w:marTop w:val="0"/>
                                  <w:marBottom w:val="0"/>
                                  <w:divBdr>
                                    <w:top w:val="none" w:sz="0" w:space="0" w:color="auto"/>
                                    <w:left w:val="none" w:sz="0" w:space="0" w:color="auto"/>
                                    <w:bottom w:val="none" w:sz="0" w:space="0" w:color="auto"/>
                                    <w:right w:val="none" w:sz="0" w:space="0" w:color="auto"/>
                                  </w:divBdr>
                                  <w:divsChild>
                                    <w:div w:id="560137306">
                                      <w:marLeft w:val="0"/>
                                      <w:marRight w:val="0"/>
                                      <w:marTop w:val="0"/>
                                      <w:marBottom w:val="0"/>
                                      <w:divBdr>
                                        <w:top w:val="none" w:sz="0" w:space="0" w:color="auto"/>
                                        <w:left w:val="none" w:sz="0" w:space="0" w:color="auto"/>
                                        <w:bottom w:val="none" w:sz="0" w:space="0" w:color="auto"/>
                                        <w:right w:val="none" w:sz="0" w:space="0" w:color="auto"/>
                                      </w:divBdr>
                                      <w:divsChild>
                                        <w:div w:id="1477988298">
                                          <w:marLeft w:val="0"/>
                                          <w:marRight w:val="0"/>
                                          <w:marTop w:val="0"/>
                                          <w:marBottom w:val="0"/>
                                          <w:divBdr>
                                            <w:top w:val="none" w:sz="0" w:space="0" w:color="auto"/>
                                            <w:left w:val="none" w:sz="0" w:space="0" w:color="auto"/>
                                            <w:bottom w:val="none" w:sz="0" w:space="0" w:color="auto"/>
                                            <w:right w:val="none" w:sz="0" w:space="0" w:color="auto"/>
                                          </w:divBdr>
                                          <w:divsChild>
                                            <w:div w:id="7455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7320553">
      <w:bodyDiv w:val="1"/>
      <w:marLeft w:val="0"/>
      <w:marRight w:val="0"/>
      <w:marTop w:val="0"/>
      <w:marBottom w:val="0"/>
      <w:divBdr>
        <w:top w:val="none" w:sz="0" w:space="0" w:color="auto"/>
        <w:left w:val="none" w:sz="0" w:space="0" w:color="auto"/>
        <w:bottom w:val="none" w:sz="0" w:space="0" w:color="auto"/>
        <w:right w:val="none" w:sz="0" w:space="0" w:color="auto"/>
      </w:divBdr>
    </w:div>
    <w:div w:id="1855269432">
      <w:bodyDiv w:val="1"/>
      <w:marLeft w:val="0"/>
      <w:marRight w:val="0"/>
      <w:marTop w:val="0"/>
      <w:marBottom w:val="0"/>
      <w:divBdr>
        <w:top w:val="none" w:sz="0" w:space="0" w:color="auto"/>
        <w:left w:val="none" w:sz="0" w:space="0" w:color="auto"/>
        <w:bottom w:val="none" w:sz="0" w:space="0" w:color="auto"/>
        <w:right w:val="none" w:sz="0" w:space="0" w:color="auto"/>
      </w:divBdr>
      <w:divsChild>
        <w:div w:id="69355681">
          <w:marLeft w:val="0"/>
          <w:marRight w:val="0"/>
          <w:marTop w:val="0"/>
          <w:marBottom w:val="0"/>
          <w:divBdr>
            <w:top w:val="none" w:sz="0" w:space="0" w:color="auto"/>
            <w:left w:val="none" w:sz="0" w:space="0" w:color="auto"/>
            <w:bottom w:val="none" w:sz="0" w:space="0" w:color="auto"/>
            <w:right w:val="none" w:sz="0" w:space="0" w:color="auto"/>
          </w:divBdr>
          <w:divsChild>
            <w:div w:id="942494659">
              <w:marLeft w:val="0"/>
              <w:marRight w:val="0"/>
              <w:marTop w:val="0"/>
              <w:marBottom w:val="0"/>
              <w:divBdr>
                <w:top w:val="none" w:sz="0" w:space="0" w:color="auto"/>
                <w:left w:val="none" w:sz="0" w:space="0" w:color="auto"/>
                <w:bottom w:val="none" w:sz="0" w:space="0" w:color="auto"/>
                <w:right w:val="none" w:sz="0" w:space="0" w:color="auto"/>
              </w:divBdr>
              <w:divsChild>
                <w:div w:id="278876254">
                  <w:marLeft w:val="0"/>
                  <w:marRight w:val="0"/>
                  <w:marTop w:val="0"/>
                  <w:marBottom w:val="0"/>
                  <w:divBdr>
                    <w:top w:val="none" w:sz="0" w:space="0" w:color="auto"/>
                    <w:left w:val="none" w:sz="0" w:space="0" w:color="auto"/>
                    <w:bottom w:val="none" w:sz="0" w:space="0" w:color="auto"/>
                    <w:right w:val="none" w:sz="0" w:space="0" w:color="auto"/>
                  </w:divBdr>
                  <w:divsChild>
                    <w:div w:id="57485422">
                      <w:marLeft w:val="-225"/>
                      <w:marRight w:val="-225"/>
                      <w:marTop w:val="0"/>
                      <w:marBottom w:val="0"/>
                      <w:divBdr>
                        <w:top w:val="none" w:sz="0" w:space="0" w:color="auto"/>
                        <w:left w:val="none" w:sz="0" w:space="0" w:color="auto"/>
                        <w:bottom w:val="none" w:sz="0" w:space="0" w:color="auto"/>
                        <w:right w:val="none" w:sz="0" w:space="0" w:color="auto"/>
                      </w:divBdr>
                      <w:divsChild>
                        <w:div w:id="483787983">
                          <w:marLeft w:val="0"/>
                          <w:marRight w:val="0"/>
                          <w:marTop w:val="0"/>
                          <w:marBottom w:val="0"/>
                          <w:divBdr>
                            <w:top w:val="none" w:sz="0" w:space="0" w:color="auto"/>
                            <w:left w:val="none" w:sz="0" w:space="0" w:color="auto"/>
                            <w:bottom w:val="none" w:sz="0" w:space="0" w:color="auto"/>
                            <w:right w:val="none" w:sz="0" w:space="0" w:color="auto"/>
                          </w:divBdr>
                          <w:divsChild>
                            <w:div w:id="317267030">
                              <w:marLeft w:val="0"/>
                              <w:marRight w:val="0"/>
                              <w:marTop w:val="0"/>
                              <w:marBottom w:val="0"/>
                              <w:divBdr>
                                <w:top w:val="none" w:sz="0" w:space="0" w:color="auto"/>
                                <w:left w:val="none" w:sz="0" w:space="0" w:color="auto"/>
                                <w:bottom w:val="none" w:sz="0" w:space="0" w:color="auto"/>
                                <w:right w:val="none" w:sz="0" w:space="0" w:color="auto"/>
                              </w:divBdr>
                              <w:divsChild>
                                <w:div w:id="1381780072">
                                  <w:marLeft w:val="-225"/>
                                  <w:marRight w:val="-225"/>
                                  <w:marTop w:val="0"/>
                                  <w:marBottom w:val="0"/>
                                  <w:divBdr>
                                    <w:top w:val="none" w:sz="0" w:space="0" w:color="auto"/>
                                    <w:left w:val="none" w:sz="0" w:space="0" w:color="auto"/>
                                    <w:bottom w:val="none" w:sz="0" w:space="0" w:color="auto"/>
                                    <w:right w:val="none" w:sz="0" w:space="0" w:color="auto"/>
                                  </w:divBdr>
                                  <w:divsChild>
                                    <w:div w:id="18361366">
                                      <w:marLeft w:val="0"/>
                                      <w:marRight w:val="0"/>
                                      <w:marTop w:val="0"/>
                                      <w:marBottom w:val="0"/>
                                      <w:divBdr>
                                        <w:top w:val="none" w:sz="0" w:space="0" w:color="auto"/>
                                        <w:left w:val="none" w:sz="0" w:space="0" w:color="auto"/>
                                        <w:bottom w:val="none" w:sz="0" w:space="0" w:color="auto"/>
                                        <w:right w:val="none" w:sz="0" w:space="0" w:color="auto"/>
                                      </w:divBdr>
                                      <w:divsChild>
                                        <w:div w:id="1784111111">
                                          <w:marLeft w:val="0"/>
                                          <w:marRight w:val="0"/>
                                          <w:marTop w:val="0"/>
                                          <w:marBottom w:val="0"/>
                                          <w:divBdr>
                                            <w:top w:val="none" w:sz="0" w:space="0" w:color="auto"/>
                                            <w:left w:val="none" w:sz="0" w:space="0" w:color="auto"/>
                                            <w:bottom w:val="none" w:sz="0" w:space="0" w:color="auto"/>
                                            <w:right w:val="none" w:sz="0" w:space="0" w:color="auto"/>
                                          </w:divBdr>
                                          <w:divsChild>
                                            <w:div w:id="14651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ademic.oup.com/cdn/article/3/8/nzz071/5519849" TargetMode="External"/><Relationship Id="rId2" Type="http://schemas.openxmlformats.org/officeDocument/2006/relationships/hyperlink" Target="https://minhealthnz.shinyapps.io/nz-health-survey-2014-17-regional-update/_w_7de86db0/" TargetMode="External"/><Relationship Id="rId1" Type="http://schemas.openxmlformats.org/officeDocument/2006/relationships/hyperlink" Target="https://www.pmcsa.org.nz/wp-content/uploads/The-health-benefits-and-risks-of-folic-acid-fortification-of-food.pdf" TargetMode="External"/><Relationship Id="rId5" Type="http://schemas.openxmlformats.org/officeDocument/2006/relationships/hyperlink" Target="https://cancernz.org.nz/assets/Positions-Statements/473-CSNAT-Folate-Positioning-statement-Jul13.pdf" TargetMode="External"/><Relationship Id="rId4" Type="http://schemas.openxmlformats.org/officeDocument/2006/relationships/hyperlink" Target="https://www.pmcsa.org.nz/wp-content/uploads/The-health-benefits-and-risks-of-folic-acid-fortification-of-f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IconOverlay xmlns="http://schemas.microsoft.com/sharepoint/v4" xsi:nil="true"/>
    <TaxCatchAll xmlns="0cf9ff62-8827-435e-9c99-02ebe6456ffc"/>
    <TaxKeywordTaxHTField xmlns="0cf9ff62-8827-435e-9c99-02ebe6456ffc">
      <Terms xmlns="http://schemas.microsoft.com/office/infopath/2007/PartnerControls"/>
    </TaxKeywordTaxHTField>
    <f2628e6c21a24dc896c928ce4137ab1e xmlns="0cf9ff62-8827-435e-9c99-02ebe6456ffc">
      <Terms xmlns="http://schemas.microsoft.com/office/infopath/2007/PartnerControls"/>
    </f2628e6c21a24dc896c928ce4137ab1e>
    <ma2c181455a6419ea6165aaee17e67aa xmlns="0cf9ff62-8827-435e-9c99-02ebe6456ffc">
      <Terms xmlns="http://schemas.microsoft.com/office/infopath/2007/PartnerControls"/>
    </ma2c181455a6419ea6165aaee17e67aa>
    <f4288ba2ebba4981923df798ac95ebe5 xmlns="0cf9ff62-8827-435e-9c99-02ebe6456ffc">
      <Terms xmlns="http://schemas.microsoft.com/office/infopath/2007/PartnerControls"/>
    </f4288ba2ebba4981923df798ac95ebe5>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390EF504D8CDD94BAD1660205F8D9262" ma:contentTypeVersion="8" ma:contentTypeDescription="Create a new Word Document" ma:contentTypeScope="" ma:versionID="0a40d09cd0e3323876bbdf91d7c282ea">
  <xsd:schema xmlns:xsd="http://www.w3.org/2001/XMLSchema" xmlns:xs="http://www.w3.org/2001/XMLSchema" xmlns:p="http://schemas.microsoft.com/office/2006/metadata/properties" xmlns:ns3="01be4277-2979-4a68-876d-b92b25fceece" xmlns:ns4="0cf9ff62-8827-435e-9c99-02ebe6456ffc" xmlns:ns5="http://schemas.microsoft.com/sharepoint/v4" xmlns:ns6="c00954c8-7342-4d84-b175-431e94a7352b" targetNamespace="http://schemas.microsoft.com/office/2006/metadata/properties" ma:root="true" ma:fieldsID="e7dc3e61cc618a2cfab4173e419e3979" ns3:_="" ns4:_="" ns5:_="" ns6:_="">
    <xsd:import namespace="01be4277-2979-4a68-876d-b92b25fceece"/>
    <xsd:import namespace="0cf9ff62-8827-435e-9c99-02ebe6456ffc"/>
    <xsd:import namespace="http://schemas.microsoft.com/sharepoint/v4"/>
    <xsd:import namespace="c00954c8-7342-4d84-b175-431e94a7352b"/>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ma2c181455a6419ea6165aaee17e67aa" minOccurs="0"/>
                <xsd:element ref="ns4:f2628e6c21a24dc896c928ce4137ab1e" minOccurs="0"/>
                <xsd:element ref="ns4:f4288ba2ebba4981923df798ac95ebe5" minOccurs="0"/>
                <xsd:element ref="ns5: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52768025-f932-4de5-8758-92e79f655bb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ma2c181455a6419ea6165aaee17e67aa" ma:index="14" nillable="true" ma:taxonomy="true" ma:internalName="ma2c181455a6419ea6165aaee17e67aa" ma:taxonomyFieldName="MPIFoodDocType" ma:displayName="Food Doc Type" ma:fieldId="{6a2c1814-55a6-419e-a616-5aaee17e67aa}" ma:sspId="3bfd400a-bb0f-42a8-a885-98b592a0f767" ma:termSetId="f93bfcff-c481-4d42-9614-2a7742312a18" ma:anchorId="00000000-0000-0000-0000-000000000000" ma:open="false" ma:isKeyword="false">
      <xsd:complexType>
        <xsd:sequence>
          <xsd:element ref="pc:Terms" minOccurs="0" maxOccurs="1"/>
        </xsd:sequence>
      </xsd:complexType>
    </xsd:element>
    <xsd:element name="f2628e6c21a24dc896c928ce4137ab1e" ma:index="15"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6"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954c8-7342-4d84-b175-431e94a7352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4F91F-8753-4D67-BBEF-01D204C94011}">
  <ds:schemaRefs>
    <ds:schemaRef ds:uri="http://schemas.microsoft.com/office/2006/metadata/properties"/>
    <ds:schemaRef ds:uri="http://schemas.microsoft.com/office/infopath/2007/PartnerControls"/>
    <ds:schemaRef ds:uri="01be4277-2979-4a68-876d-b92b25fceece"/>
    <ds:schemaRef ds:uri="http://schemas.microsoft.com/sharepoint/v4"/>
    <ds:schemaRef ds:uri="0cf9ff62-8827-435e-9c99-02ebe6456ffc"/>
  </ds:schemaRefs>
</ds:datastoreItem>
</file>

<file path=customXml/itemProps2.xml><?xml version="1.0" encoding="utf-8"?>
<ds:datastoreItem xmlns:ds="http://schemas.openxmlformats.org/officeDocument/2006/customXml" ds:itemID="{5772CE44-C9B6-41F8-B73C-385E41A0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cf9ff62-8827-435e-9c99-02ebe6456ffc"/>
    <ds:schemaRef ds:uri="http://schemas.microsoft.com/sharepoint/v4"/>
    <ds:schemaRef ds:uri="c00954c8-7342-4d84-b175-431e94a7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76282-EF60-47B5-A414-147538DAE74A}">
  <ds:schemaRefs>
    <ds:schemaRef ds:uri="http://schemas.microsoft.com/sharepoint/v3/contenttype/forms"/>
  </ds:schemaRefs>
</ds:datastoreItem>
</file>

<file path=customXml/itemProps4.xml><?xml version="1.0" encoding="utf-8"?>
<ds:datastoreItem xmlns:ds="http://schemas.openxmlformats.org/officeDocument/2006/customXml" ds:itemID="{BF496912-CB6C-42B9-87E7-9630F0DF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keywords/>
  <cp:lastModifiedBy>Vicki Robinson</cp:lastModifiedBy>
  <cp:revision>4</cp:revision>
  <cp:lastPrinted>2019-08-15T02:49:00Z</cp:lastPrinted>
  <dcterms:created xsi:type="dcterms:W3CDTF">2019-11-11T01:17:00Z</dcterms:created>
  <dcterms:modified xsi:type="dcterms:W3CDTF">2019-11-11T01:33:00Z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ReceivedByName">
    <vt:lpwstr/>
  </property>
  <property fmtid="{D5CDD505-2E9C-101B-9397-08002B2CF9AE}" pid="3" name="TaxKeyword">
    <vt:lpwstr/>
  </property>
  <property fmtid="{D5CDD505-2E9C-101B-9397-08002B2CF9AE}" pid="4" name="URL">
    <vt:lpwstr/>
  </property>
  <property fmtid="{D5CDD505-2E9C-101B-9397-08002B2CF9AE}" pid="5" name="EmCon">
    <vt:lpwstr/>
  </property>
  <property fmtid="{D5CDD505-2E9C-101B-9397-08002B2CF9AE}" pid="6" name="EmCompanies">
    <vt:lpwstr/>
  </property>
  <property fmtid="{D5CDD505-2E9C-101B-9397-08002B2CF9AE}" pid="7" name="EmSubject">
    <vt:lpwstr/>
  </property>
  <property fmtid="{D5CDD505-2E9C-101B-9397-08002B2CF9AE}" pid="8" name="EmAttachCount">
    <vt:lpwstr/>
  </property>
  <property fmtid="{D5CDD505-2E9C-101B-9397-08002B2CF9AE}" pid="9" name="ContentTypeId">
    <vt:lpwstr>0x0101005496552013C0BA46BE88192D5C6EB20B00BC7B51C3C3DA487E91D1E0ED95F8C85C00390EF504D8CDD94BAD1660205F8D9262</vt:lpwstr>
  </property>
  <property fmtid="{D5CDD505-2E9C-101B-9397-08002B2CF9AE}" pid="10" name="MPISecurityClassification">
    <vt:lpwstr/>
  </property>
  <property fmtid="{D5CDD505-2E9C-101B-9397-08002B2CF9AE}" pid="11" name="EmToAddress">
    <vt:lpwstr/>
  </property>
  <property fmtid="{D5CDD505-2E9C-101B-9397-08002B2CF9AE}" pid="12" name="C3Topic">
    <vt:lpwstr/>
  </property>
  <property fmtid="{D5CDD505-2E9C-101B-9397-08002B2CF9AE}" pid="13" name="EmReceivedOnBehalfOfName">
    <vt:lpwstr/>
  </property>
  <property fmtid="{D5CDD505-2E9C-101B-9397-08002B2CF9AE}" pid="14" name="EmCategory">
    <vt:lpwstr/>
  </property>
  <property fmtid="{D5CDD505-2E9C-101B-9397-08002B2CF9AE}" pid="15" name="EmConversationIndex">
    <vt:lpwstr/>
  </property>
  <property fmtid="{D5CDD505-2E9C-101B-9397-08002B2CF9AE}" pid="16" name="EmReplyRecipients">
    <vt:lpwstr/>
  </property>
  <property fmtid="{D5CDD505-2E9C-101B-9397-08002B2CF9AE}" pid="17" name="EmBody">
    <vt:lpwstr/>
  </property>
  <property fmtid="{D5CDD505-2E9C-101B-9397-08002B2CF9AE}" pid="18" name="EmReplyRecipientNames">
    <vt:lpwstr/>
  </property>
  <property fmtid="{D5CDD505-2E9C-101B-9397-08002B2CF9AE}" pid="19" name="EmFromName">
    <vt:lpwstr/>
  </property>
  <property fmtid="{D5CDD505-2E9C-101B-9397-08002B2CF9AE}" pid="20" name="EmCC">
    <vt:lpwstr/>
  </property>
  <property fmtid="{D5CDD505-2E9C-101B-9397-08002B2CF9AE}" pid="21" name="EmTo">
    <vt:lpwstr/>
  </property>
  <property fmtid="{D5CDD505-2E9C-101B-9397-08002B2CF9AE}" pid="22" name="EmFrom">
    <vt:lpwstr/>
  </property>
  <property fmtid="{D5CDD505-2E9C-101B-9397-08002B2CF9AE}" pid="23" name="EmType">
    <vt:lpwstr/>
  </property>
  <property fmtid="{D5CDD505-2E9C-101B-9397-08002B2CF9AE}" pid="24" name="EmAttachmentNames">
    <vt:lpwstr/>
  </property>
  <property fmtid="{D5CDD505-2E9C-101B-9397-08002B2CF9AE}" pid="25" name="EmSentOnBehalfOfName">
    <vt:lpwstr/>
  </property>
  <property fmtid="{D5CDD505-2E9C-101B-9397-08002B2CF9AE}" pid="26" name="EmConversationID">
    <vt:lpwstr/>
  </property>
  <property fmtid="{D5CDD505-2E9C-101B-9397-08002B2CF9AE}" pid="27" name="EmBCC">
    <vt:lpwstr/>
  </property>
  <property fmtid="{D5CDD505-2E9C-101B-9397-08002B2CF9AE}" pid="28" name="EmID">
    <vt:lpwstr/>
  </property>
  <property fmtid="{D5CDD505-2E9C-101B-9397-08002B2CF9AE}" pid="29" name="PingarMPI_Terms">
    <vt:lpwstr/>
  </property>
  <property fmtid="{D5CDD505-2E9C-101B-9397-08002B2CF9AE}" pid="30" name="RecordPoint_WorkflowType">
    <vt:lpwstr>ActiveSubmitStub</vt:lpwstr>
  </property>
  <property fmtid="{D5CDD505-2E9C-101B-9397-08002B2CF9AE}" pid="31" name="RecordPoint_ActiveItemWebId">
    <vt:lpwstr>{c00954c8-7342-4d84-b175-431e94a7352b}</vt:lpwstr>
  </property>
  <property fmtid="{D5CDD505-2E9C-101B-9397-08002B2CF9AE}" pid="32" name="RecordPoint_ActiveItemSiteId">
    <vt:lpwstr>{7d9f006a-9500-4afd-9ffe-3544cd89792f}</vt:lpwstr>
  </property>
  <property fmtid="{D5CDD505-2E9C-101B-9397-08002B2CF9AE}" pid="33" name="RecordPoint_ActiveItemListId">
    <vt:lpwstr>{1b757827-0a4f-4432-a6d3-dbea9d27a6bc}</vt:lpwstr>
  </property>
  <property fmtid="{D5CDD505-2E9C-101B-9397-08002B2CF9AE}" pid="34" name="RecordPoint_ActiveItemUniqueId">
    <vt:lpwstr>{6f88b598-2729-4cda-9919-a9ac92a83615}</vt:lpwstr>
  </property>
  <property fmtid="{D5CDD505-2E9C-101B-9397-08002B2CF9AE}" pid="35" name="_dlc_DocIdItemGuid">
    <vt:lpwstr>82904723-903b-4087-824b-4e1fbacf78dd</vt:lpwstr>
  </property>
  <property fmtid="{D5CDD505-2E9C-101B-9397-08002B2CF9AE}" pid="36" name="C3LegacyModifiedBy">
    <vt:lpwstr>BearC</vt:lpwstr>
  </property>
  <property fmtid="{D5CDD505-2E9C-101B-9397-08002B2CF9AE}" pid="37" name="C3LegacyModifiedDate">
    <vt:lpwstr>15/05/2014 5:20:55 p.m.</vt:lpwstr>
  </property>
  <property fmtid="{D5CDD505-2E9C-101B-9397-08002B2CF9AE}" pid="38" name="_dlc_DocId">
    <vt:lpwstr>PROJECTS-296738697-39</vt:lpwstr>
  </property>
  <property fmtid="{D5CDD505-2E9C-101B-9397-08002B2CF9AE}" pid="39" name="C3MigrationBatch">
    <vt:lpwstr>odg 17/07/2015 21:04</vt:lpwstr>
  </property>
  <property fmtid="{D5CDD505-2E9C-101B-9397-08002B2CF9AE}" pid="40" name="C3LegacyDocumentId">
    <vt:lpwstr>090101b380d0cd1e</vt:lpwstr>
  </property>
  <property fmtid="{D5CDD505-2E9C-101B-9397-08002B2CF9AE}" pid="41" name="C3LegacyComments">
    <vt:lpwstr>Folder Path:/FCS_MAF/INTERNAL MANAGEMENT/Administration (Team)/1 July 2011 Onwards/ODG - Office of the Director General/Research and Evaluation/Ad Hoc Client Advice
Version Creator:BearC,BearC
Version state:4.0-Draft-CURRENT</vt:lpwstr>
  </property>
  <property fmtid="{D5CDD505-2E9C-101B-9397-08002B2CF9AE}" pid="42" name="C3LegacyVersionNumber">
    <vt:lpwstr>v4.0</vt:lpwstr>
  </property>
  <property fmtid="{D5CDD505-2E9C-101B-9397-08002B2CF9AE}" pid="43" name="C3LegacyCreatedBy">
    <vt:lpwstr>BearC</vt:lpwstr>
  </property>
  <property fmtid="{D5CDD505-2E9C-101B-9397-08002B2CF9AE}" pid="44" name="C3LegacyCreatedDate">
    <vt:lpwstr>15/05/2014 5:20:55 p.m.</vt:lpwstr>
  </property>
  <property fmtid="{D5CDD505-2E9C-101B-9397-08002B2CF9AE}" pid="45" name="_dlc_DocIdUrl">
    <vt:lpwstr>https://piritahi.cohesion.net.nz/Sites/PRO/NZFSStrategy/_layouts/15/DocIdRedir.aspx?ID=PROJECTS-296738697-39, PROJECTS-296738697-39</vt:lpwstr>
  </property>
  <property fmtid="{D5CDD505-2E9C-101B-9397-08002B2CF9AE}" pid="46" name="C3LegacyTags">
    <vt:lpwstr>Management;Administration (Internal)</vt:lpwstr>
  </property>
  <property fmtid="{D5CDD505-2E9C-101B-9397-08002B2CF9AE}" pid="47" name="RecordPoint_SubmissionDate">
    <vt:lpwstr/>
  </property>
  <property fmtid="{D5CDD505-2E9C-101B-9397-08002B2CF9AE}" pid="48" name="RecordPoint_RecordNumberSubmitted">
    <vt:lpwstr>R0005808688</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2019-09-27T19:09:41.0213145+12:00</vt:lpwstr>
  </property>
  <property fmtid="{D5CDD505-2E9C-101B-9397-08002B2CF9AE}" pid="52" name="MPIFoodDocType">
    <vt:lpwstr/>
  </property>
  <property fmtid="{D5CDD505-2E9C-101B-9397-08002B2CF9AE}" pid="53" name="MPIYear">
    <vt:lpwstr/>
  </property>
</Properties>
</file>